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none" w:sz="0" w:color="auto"/>
          <w:left w:val="none" w:sz="0" w:color="auto"/>
          <w:bottom w:val="single" w:color="1B4D2E" w:sz="12"/>
          <w:right w:val="none" w:sz="0" w:color="auto"/>
          <w:insideH w:val="none" w:sz="0" w:color="auto"/>
          <w:insideV w:val="none" w:sz="0" w:color="auto"/>
        </w:tblBorders>
        <w:tblLayout w:type="fixed"/>
        <w:tblCellMar>
          <w:left w:w="0" w:type="dxa"/>
          <w:right w:w="0" w:type="dxa"/>
        </w:tblCellMar>
      </w:tblPr>
      <w:tblGrid>
        <w:gridCol w:w="6900"/>
        <w:gridCol w:w="2460"/>
      </w:tblGrid>
      <w:tr>
        <w:tc>
          <w:tcPr>
            <w:tcW w:type="dxa" w:w="6900"/>
            <w:tcMar>
              <w:top w:type="dxa" w:w="0"/>
              <w:left w:type="dxa" w:w="0"/>
              <w:bottom w:type="dxa" w:w="90"/>
              <w:right w:type="dxa" w:w="0"/>
            </w:tcMar>
            <w:vAlign w:val="bottom"/>
          </w:tcPr>
          <w:p>
            <w:pPr>
              <w:pStyle w:val="Title"/>
            </w:pPr>
            <w:r>
              <w:rPr/>
              <w:t xml:space="preserve">Notice of Additional Assessment for Insurance Deductible</w:t>
            </w:r>
          </w:p>
          <w:p>
            <w:pPr>
              <w:pStyle w:val="Subtitle"/>
            </w:pPr>
            <w:r>
              <w:rPr/>
              <w:t xml:space="preserve">Homeowners insurance Loss Assessment Coverage and payment options</w:t>
            </w:r>
          </w:p>
        </w:tc>
        <w:tc>
          <w:tcPr>
            <w:tcW w:type="dxa" w:w="2460"/>
            <w:tcMar>
              <w:top w:type="dxa" w:w="0"/>
              <w:left w:type="dxa" w:w="0"/>
              <w:bottom w:type="dxa" w:w="100"/>
              <w:right w:type="dxa" w:w="0"/>
            </w:tcMar>
            <w:vAlign w:val="bottom"/>
          </w:tcPr>
          <w:p>
            <w:pPr>
              <w:spacing w:after="20" w:line="259" w:lineRule="auto"/>
              <w:jc w:val="right"/>
            </w:pPr>
            <w:r>
              <w:rPr>
                <w:b/>
                <w:bCs/>
                <w:caps/>
                <w:color w:val="1B4D2E"/>
                <w:spacing w:val="20"/>
                <w:sz w:val="18"/>
                <w:szCs w:val="18"/>
              </w:rPr>
              <w:t xml:space="preserve">Notice to Co-Owners</w:t>
            </w:r>
          </w:p>
          <w:p>
            <w:pPr>
              <w:spacing w:after="0" w:line="259" w:lineRule="auto"/>
              <w:jc w:val="right"/>
            </w:pPr>
            <w:r>
              <w:rPr>
                <w:color w:val="555555"/>
                <w:sz w:val="17"/>
                <w:szCs w:val="17"/>
              </w:rPr>
              <w:t xml:space="preserve">CAU Claim #129675-1</w:t>
            </w:r>
          </w:p>
        </w:tc>
      </w:tr>
    </w:tbl>
    <w:p>
      <w:pPr>
        <w:spacing w:before="0" w:after="0" w:line="120" w:lineRule="exact"/>
        <w:rPr>
          <w:sz w:val="8"/>
          <w:szCs w:val="8"/>
        </w:rPr>
      </w:pPr>
    </w:p>
    <w:tbl>
      <w:tblPr>
        <w:tblW w:type="dxa" w:w="9360"/>
        <w:tblBorders>
          <w:top w:val="none" w:sz="0" w:color="auto"/>
          <w:left w:val="none" w:sz="0" w:color="auto"/>
          <w:bottom w:val="single" w:color="8C8C8C" w:sz="4"/>
          <w:right w:val="none" w:sz="0" w:color="auto"/>
          <w:insideH w:val="none" w:sz="0" w:color="auto"/>
          <w:insideV w:val="single" w:color="8C8C8C" w:sz="4"/>
        </w:tblBorders>
        <w:tblLayout w:type="fixed"/>
        <w:tblCellMar>
          <w:left w:w="0" w:type="dxa"/>
          <w:right w:w="0" w:type="dxa"/>
        </w:tblCellMar>
      </w:tblPr>
      <w:tblGrid>
        <w:gridCol w:w="1900"/>
        <w:gridCol w:w="1900"/>
        <w:gridCol w:w="2200"/>
        <w:gridCol w:w="3360"/>
      </w:tblGrid>
      <w:tr>
        <w:trPr>
          <w:cantSplit/>
        </w:trPr>
        <w:tc>
          <w:tcPr>
            <w:tcW w:type="dxa" w:w="1900"/>
            <w:tcMar>
              <w:top w:type="dxa" w:w="70"/>
              <w:left w:type="dxa" w:w="110"/>
              <w:bottom w:type="dxa" w:w="80"/>
              <w:right w:type="dxa" w:w="110"/>
            </w:tcMar>
            <w:vAlign w:val="top"/>
          </w:tcPr>
          <w:p>
            <w:pPr>
              <w:spacing w:after="20" w:line="259" w:lineRule="auto"/>
            </w:pPr>
            <w:r>
              <w:rPr>
                <w:b/>
                <w:bCs/>
                <w:caps/>
                <w:color w:val="555555"/>
                <w:spacing w:val="6"/>
                <w:sz w:val="16"/>
                <w:szCs w:val="16"/>
              </w:rPr>
              <w:t xml:space="preserve">Date</w:t>
            </w:r>
          </w:p>
          <w:p>
            <w:pPr>
              <w:spacing w:after="0" w:line="259" w:lineRule="auto"/>
            </w:pPr>
            <w:r>
              <w:rPr>
                <w:sz w:val="21"/>
                <w:szCs w:val="21"/>
              </w:rPr>
              <w:t xml:space="preserve">November 4, 2026</w:t>
            </w:r>
          </w:p>
        </w:tc>
        <w:tc>
          <w:tcPr>
            <w:tcW w:type="dxa" w:w="1900"/>
            <w:tcMar>
              <w:top w:type="dxa" w:w="70"/>
              <w:left w:type="dxa" w:w="110"/>
              <w:bottom w:type="dxa" w:w="80"/>
              <w:right w:type="dxa" w:w="110"/>
            </w:tcMar>
            <w:vAlign w:val="top"/>
          </w:tcPr>
          <w:p>
            <w:pPr>
              <w:spacing w:after="20" w:line="259" w:lineRule="auto"/>
            </w:pPr>
            <w:r>
              <w:rPr>
                <w:b/>
                <w:bCs/>
                <w:caps/>
                <w:color w:val="555555"/>
                <w:spacing w:val="6"/>
                <w:sz w:val="16"/>
                <w:szCs w:val="16"/>
              </w:rPr>
              <w:t xml:space="preserve">To</w:t>
            </w:r>
          </w:p>
          <w:p>
            <w:pPr>
              <w:spacing w:after="0" w:line="259" w:lineRule="auto"/>
            </w:pPr>
            <w:r>
              <w:rPr>
                <w:sz w:val="21"/>
                <w:szCs w:val="21"/>
              </w:rPr>
              <w:t xml:space="preserve">All Co-Owners</w:t>
            </w:r>
          </w:p>
        </w:tc>
        <w:tc>
          <w:tcPr>
            <w:tcW w:type="dxa" w:w="2200"/>
            <w:tcMar>
              <w:top w:type="dxa" w:w="70"/>
              <w:left w:type="dxa" w:w="110"/>
              <w:bottom w:type="dxa" w:w="80"/>
              <w:right w:type="dxa" w:w="110"/>
            </w:tcMar>
            <w:vAlign w:val="top"/>
          </w:tcPr>
          <w:p>
            <w:pPr>
              <w:spacing w:after="20" w:line="259" w:lineRule="auto"/>
            </w:pPr>
            <w:r>
              <w:rPr>
                <w:b/>
                <w:bCs/>
                <w:caps/>
                <w:color w:val="555555"/>
                <w:spacing w:val="6"/>
                <w:sz w:val="16"/>
                <w:szCs w:val="16"/>
              </w:rPr>
              <w:t xml:space="preserve">From</w:t>
            </w:r>
          </w:p>
          <w:p>
            <w:pPr>
              <w:spacing w:after="0" w:line="259" w:lineRule="auto"/>
            </w:pPr>
            <w:r>
              <w:rPr>
                <w:sz w:val="21"/>
                <w:szCs w:val="21"/>
              </w:rPr>
              <w:t xml:space="preserve">Board of Directors</w:t>
            </w:r>
          </w:p>
        </w:tc>
        <w:tc>
          <w:tcPr>
            <w:tcW w:type="dxa" w:w="3360"/>
            <w:tcMar>
              <w:top w:type="dxa" w:w="70"/>
              <w:left w:type="dxa" w:w="110"/>
              <w:bottom w:type="dxa" w:w="80"/>
              <w:right w:type="dxa" w:w="110"/>
            </w:tcMar>
            <w:vAlign w:val="top"/>
          </w:tcPr>
          <w:p>
            <w:pPr>
              <w:spacing w:after="20" w:line="259" w:lineRule="auto"/>
            </w:pPr>
            <w:r>
              <w:rPr>
                <w:b/>
                <w:bCs/>
                <w:caps/>
                <w:color w:val="555555"/>
                <w:spacing w:val="6"/>
                <w:sz w:val="16"/>
                <w:szCs w:val="16"/>
              </w:rPr>
              <w:t xml:space="preserve">Assessment</w:t>
            </w:r>
          </w:p>
          <w:p>
            <w:pPr>
              <w:spacing w:after="0" w:line="259" w:lineRule="auto"/>
            </w:pPr>
            <w:r>
              <w:rPr>
                <w:sz w:val="21"/>
                <w:szCs w:val="21"/>
              </w:rPr>
              <w:t xml:space="preserve">$3,581.00 per Unit, due February 1, 2027</w:t>
            </w:r>
          </w:p>
        </w:tc>
      </w:tr>
    </w:tbl>
    <w:p>
      <w:pPr>
        <w:spacing w:before="0" w:after="200" w:line="120" w:lineRule="exact"/>
        <w:rPr>
          <w:sz w:val="8"/>
          <w:szCs w:val="8"/>
        </w:rPr>
      </w:pPr>
    </w:p>
    <w:p>
      <w:pPr/>
      <w:r>
        <w:rPr/>
        <w:t xml:space="preserve">Dear Homeowners,</w:t>
      </w:r>
    </w:p>
    <w:p>
      <w:pPr/>
      <w:r>
        <w:rPr/>
        <w:t xml:space="preserve">As many of you are aware, our community sustained significant damage during the wind and hail storm that occurred on March 10, 2026. Following inspections and review by the Association’s insurance carrier, extensive damage was identified throughout the community, affecting all 22 condominium buildings.</w:t>
      </w:r>
    </w:p>
    <w:p>
      <w:pPr/>
      <w:r>
        <w:rPr/>
        <w:t xml:space="preserve">The Association has filed and received approval for an insurance claim totaling </w:t>
      </w:r>
      <w:r>
        <w:rPr>
          <w:b/>
          <w:bCs/>
        </w:rPr>
        <w:t xml:space="preserve">$1,477,007.12</w:t>
      </w:r>
      <w:r>
        <w:rPr/>
        <w:t xml:space="preserve"> for roof replacement and related storm-damage repairs. Under the terms of the Association’s master insurance policy, the Association is responsible for an insurance deductible of </w:t>
      </w:r>
      <w:r>
        <w:rPr>
          <w:b/>
          <w:bCs/>
        </w:rPr>
        <w:t xml:space="preserve">$307,961.65</w:t>
      </w:r>
      <w:r>
        <w:rPr/>
        <w:t xml:space="preserve">.</w:t>
      </w:r>
    </w:p>
    <w:p>
      <w:pPr/>
      <w:r>
        <w:rPr/>
        <w:t xml:space="preserve">To satisfy the Association’s deductible obligation, the Board of Directors has adopted an </w:t>
      </w:r>
      <w:r>
        <w:rPr>
          <w:b/>
          <w:bCs/>
        </w:rPr>
        <w:t xml:space="preserve">Additional Assessment of $3,581.00 per condominium unit</w:t>
      </w:r>
      <w:r>
        <w:rPr/>
        <w:t xml:space="preserve">. This Additional Assessment is due and payable in full on </w:t>
      </w:r>
      <w:r>
        <w:rPr>
          <w:b/>
          <w:bCs/>
        </w:rPr>
        <w:t xml:space="preserve">February 1, 2027</w:t>
      </w:r>
      <w:r>
        <w:rPr/>
        <w:t xml:space="preserve">, subject to the payment arrangement described below for eligible co-owners whose Loss Assessment Coverage under their homeowners insurance policy is insufficient to fully satisfy the assessment.</w:t>
      </w:r>
    </w:p>
    <w:p>
      <w:pPr>
        <w:pStyle w:val="Heading1"/>
      </w:pPr>
      <w:r>
        <w:rPr/>
        <w:t xml:space="preserve">Additional assessment and $125 monthly payment arrangement</w:t>
      </w:r>
    </w:p>
    <w:p>
      <w:pPr>
        <w:pStyle w:val="Callout"/>
      </w:pPr>
      <w:r>
        <w:rPr>
          <w:b/>
          <w:bCs/>
        </w:rPr>
        <w:t xml:space="preserve">Homeowners who have sufficient Loss Assessment Coverage under their homeowners insurance policy to cover the full $3,581.00 Additional Assessment are responsible for satisfying the assessment through available insurance proceeds or by otherwise paying the assessment in full.</w:t>
      </w:r>
    </w:p>
    <w:p>
      <w:pPr/>
      <w:r>
        <w:rPr/>
        <w:t xml:space="preserve">The $125.00 monthly payment arrangement is </w:t>
      </w:r>
      <w:r>
        <w:rPr>
          <w:b/>
          <w:bCs/>
        </w:rPr>
        <w:t xml:space="preserve">not available</w:t>
      </w:r>
      <w:r>
        <w:rPr/>
        <w:t xml:space="preserve"> to a homeowner whose Loss Assessment Coverage is sufficient to fully satisfy the $3,581.00 Additional Assessment.</w:t>
      </w:r>
    </w:p>
    <w:p>
      <w:pPr/>
      <w:r>
        <w:rPr/>
        <w:t xml:space="preserve">For homeowners whose Loss Assessment Coverage is </w:t>
      </w:r>
      <w:r>
        <w:rPr>
          <w:b/>
          <w:bCs/>
        </w:rPr>
        <w:t xml:space="preserve">insufficient to fully satisfy the $3,581.00 Additional Assessment</w:t>
      </w:r>
      <w:r>
        <w:rPr/>
        <w:t xml:space="preserve">, any available insurance proceeds must be provided to the Association. Upon receipt of those proceeds, the Association will allow the remaining unpaid assessment balance to be paid at </w:t>
      </w:r>
      <w:r>
        <w:rPr>
          <w:b/>
          <w:bCs/>
        </w:rPr>
        <w:t xml:space="preserve">$125.00 per month</w:t>
      </w:r>
      <w:r>
        <w:rPr/>
        <w:t xml:space="preserve">, beginning February 1, 2027. A </w:t>
      </w:r>
      <w:r>
        <w:rPr>
          <w:b/>
          <w:bCs/>
        </w:rPr>
        <w:t xml:space="preserve">$44 processing fee</w:t>
      </w:r>
      <w:r>
        <w:rPr/>
        <w:t xml:space="preserve"> will be added to the final payment.</w:t>
      </w:r>
    </w:p>
    <w:p>
      <w:pPr>
        <w:pStyle w:val="Heading3"/>
      </w:pPr>
      <w:r>
        <w:rPr/>
        <w:t xml:space="preserve">To qualify for this payment arrangement, the homeowner must:</w:t>
      </w:r>
    </w:p>
    <w:p>
      <w:pPr>
        <w:pStyle w:val="ListParagraph"/>
        <w:numPr>
          <w:ilvl w:val="0"/>
          <w:numId w:val="10"/>
        </w:numPr>
        <w:spacing w:after="80"/>
      </w:pPr>
      <w:r>
        <w:rPr/>
        <w:t xml:space="preserve">Provide documentation acceptable to the Association establishing the amount of Loss Assessment Coverage available and the resulting insurance shortfall.</w:t>
      </w:r>
    </w:p>
    <w:p>
      <w:pPr>
        <w:pStyle w:val="ListParagraph"/>
        <w:numPr>
          <w:ilvl w:val="0"/>
          <w:numId w:val="10"/>
        </w:numPr>
        <w:spacing w:after="80"/>
      </w:pPr>
      <w:r>
        <w:rPr/>
        <w:t xml:space="preserve">Provide any available homeowners insurance proceeds applicable to the Additional Assessment.</w:t>
      </w:r>
    </w:p>
    <w:p>
      <w:pPr>
        <w:pStyle w:val="ListParagraph"/>
        <w:numPr>
          <w:ilvl w:val="0"/>
          <w:numId w:val="10"/>
        </w:numPr>
        <w:spacing w:after="80"/>
      </w:pPr>
      <w:r>
        <w:rPr/>
        <w:t xml:space="preserve">Execute and return the Additional Assessment Payment Agreement by </w:t>
      </w:r>
      <w:r>
        <w:rPr>
          <w:b/>
          <w:bCs/>
        </w:rPr>
        <w:t xml:space="preserve">January 15, 2027</w:t>
      </w:r>
      <w:r>
        <w:rPr/>
        <w:t xml:space="preserve">.</w:t>
      </w:r>
    </w:p>
    <w:p>
      <w:pPr/>
      <w:r>
        <w:rPr/>
        <w:t xml:space="preserve">The $125.00 monthly payment arrangement will become effective February 1, 2027.</w:t>
      </w:r>
    </w:p>
    <w:p>
      <w:pPr/>
      <w:r>
        <w:rPr/>
        <w:t xml:space="preserve">The $125.00 monthly payments are solely a payment arrangement for the unpaid portion of the Additional Assessment. This payment arrangement does not reduce, waive, release, or eliminate the homeowner’s responsibility for the full $3,581.00 Additional Assessment.</w:t>
      </w:r>
    </w:p>
    <w:p>
      <w:pPr/>
      <w:r>
        <w:rPr/>
        <w:t xml:space="preserve">Monthly payments will continue until the remaining Additional Assessment balance is paid in full, unless the balance becomes due earlier under the Additional Assessment Payment Agreement. The homeowner may pay the remaining balance in full at any time without penalty.</w:t>
      </w:r>
    </w:p>
    <w:p>
      <w:pPr/>
      <w:r>
        <w:rPr/>
        <w:t xml:space="preserve">The $44 processing fee is due in all circumstances and will be added to the final payment under the payment arrangement.</w:t>
      </w:r>
    </w:p>
    <w:p>
      <w:pPr>
        <w:pStyle w:val="Heading1"/>
      </w:pPr>
      <w:r>
        <w:rPr/>
        <w:t xml:space="preserve">Sale or transfer of the unit</w:t>
      </w:r>
    </w:p>
    <w:p>
      <w:pPr/>
      <w:r>
        <w:rPr/>
        <w:t xml:space="preserve">If a Unit is sold, conveyed, transferred, or otherwise disposed of before the Additional Assessment is paid in full, the current Co-Owner is responsible for paying all outstanding assessments at or before closing or transfer, unless the purchasing owner agrees to assume the outstanding assessment obligation, as permitted under the Condominium Bylaws.</w:t>
      </w:r>
    </w:p>
    <w:p>
      <w:pPr/>
      <w:r>
        <w:rPr/>
        <w:t xml:space="preserve">Any unpaid balance under the $125.00 monthly payment arrangement, together with any applicable processing fee, must be addressed as part of the closing or transfer.</w:t>
      </w:r>
    </w:p>
    <w:p>
      <w:pPr/>
      <w:r>
        <w:rPr/>
        <w:t xml:space="preserve">The current Co-Owner must notify the Association before entering into a purchase agreement and sufficiently in advance of closing so that the Association can provide an applicable payoff statement to the Co-Owner and/or Title Company.</w:t>
      </w:r>
    </w:p>
    <w:p>
      <w:pPr>
        <w:pStyle w:val="Heading1"/>
      </w:pPr>
      <w:r>
        <w:rPr/>
        <w:t xml:space="preserve">Payment options at a glance</w:t>
      </w:r>
    </w:p>
    <w:tbl>
      <w:tblPr>
        <w:tblW w:type="dxa" w:w="9360"/>
        <w:tblBorders>
          <w:top w:val="single" w:color="8C8C8C" w:sz="4"/>
          <w:left w:val="single" w:color="8C8C8C" w:sz="4"/>
          <w:bottom w:val="single" w:color="8C8C8C" w:sz="4"/>
          <w:right w:val="single" w:color="8C8C8C" w:sz="4"/>
          <w:insideH w:val="single" w:color="8C8C8C" w:sz="4"/>
          <w:insideV w:val="single" w:color="8C8C8C" w:sz="4"/>
        </w:tblBorders>
        <w:tblLayout w:type="fixed"/>
        <w:tblCellMar>
          <w:left w:w="0" w:type="dxa"/>
          <w:right w:w="0" w:type="dxa"/>
        </w:tblCellMar>
      </w:tblPr>
      <w:tblGrid>
        <w:gridCol w:w="2600"/>
        <w:gridCol w:w="6760"/>
      </w:tblGrid>
      <w:tr>
        <w:trPr>
          <w:cantSplit/>
          <w:tblHeader/>
        </w:trPr>
        <w:tc>
          <w:tcPr>
            <w:tcW w:type="dxa" w:w="2600"/>
            <w:shd w:fill="F5EDD0" w:color="auto" w:val="clear"/>
            <w:tcMar>
              <w:top w:type="dxa" w:w="70"/>
              <w:left w:type="dxa" w:w="110"/>
              <w:bottom w:type="dxa" w:w="70"/>
              <w:right w:type="dxa" w:w="110"/>
            </w:tcMar>
            <w:vAlign w:val="top"/>
          </w:tcPr>
          <w:p>
            <w:pPr>
              <w:spacing w:after="0" w:line="259" w:lineRule="auto"/>
            </w:pPr>
            <w:r>
              <w:rPr>
                <w:b/>
                <w:bCs/>
                <w:color w:val="1B4D2E"/>
                <w:sz w:val="20"/>
                <w:szCs w:val="20"/>
              </w:rPr>
              <w:t xml:space="preserve">Situation</w:t>
            </w:r>
          </w:p>
        </w:tc>
        <w:tc>
          <w:tcPr>
            <w:tcW w:type="dxa" w:w="6760"/>
            <w:shd w:fill="F5EDD0" w:color="auto" w:val="clear"/>
            <w:tcMar>
              <w:top w:type="dxa" w:w="70"/>
              <w:left w:type="dxa" w:w="110"/>
              <w:bottom w:type="dxa" w:w="70"/>
              <w:right w:type="dxa" w:w="110"/>
            </w:tcMar>
            <w:vAlign w:val="top"/>
          </w:tcPr>
          <w:p>
            <w:pPr>
              <w:spacing w:after="0" w:line="259" w:lineRule="auto"/>
            </w:pPr>
            <w:r>
              <w:rPr>
                <w:b/>
                <w:bCs/>
                <w:color w:val="1B4D2E"/>
                <w:sz w:val="20"/>
                <w:szCs w:val="20"/>
              </w:rPr>
              <w:t xml:space="preserve">What applies</w:t>
            </w:r>
          </w:p>
        </w:tc>
      </w:tr>
      <w:tr>
        <w:trPr>
          <w:cantSplit/>
        </w:trPr>
        <w:tc>
          <w:tcPr>
            <w:tcW w:type="dxa" w:w="2600"/>
            <w:tcMar>
              <w:top w:type="dxa" w:w="80"/>
              <w:left w:type="dxa" w:w="110"/>
              <w:bottom w:type="dxa" w:w="80"/>
              <w:right w:type="dxa" w:w="110"/>
            </w:tcMar>
            <w:vAlign w:val="top"/>
          </w:tcPr>
          <w:p>
            <w:pPr>
              <w:spacing w:after="0" w:line="259" w:lineRule="auto"/>
            </w:pPr>
            <w:r>
              <w:rPr>
                <w:b/>
                <w:bCs/>
                <w:color w:val="1B4D2E"/>
                <w:sz w:val="21"/>
                <w:szCs w:val="21"/>
              </w:rPr>
              <w:t xml:space="preserve">Sufficient Loss Assessment Coverage</w:t>
            </w:r>
          </w:p>
        </w:tc>
        <w:tc>
          <w:tcPr>
            <w:tcW w:type="dxa" w:w="6760"/>
            <w:tcMar>
              <w:top w:type="dxa" w:w="80"/>
              <w:left w:type="dxa" w:w="110"/>
              <w:bottom w:type="dxa" w:w="80"/>
              <w:right w:type="dxa" w:w="110"/>
            </w:tcMar>
            <w:vAlign w:val="top"/>
          </w:tcPr>
          <w:p>
            <w:pPr>
              <w:spacing w:after="0" w:line="259" w:lineRule="auto"/>
            </w:pPr>
            <w:r>
              <w:rPr>
                <w:sz w:val="21"/>
                <w:szCs w:val="21"/>
              </w:rPr>
              <w:t xml:space="preserve">The homeowner is responsible for satisfying the entire </w:t>
            </w:r>
            <w:r>
              <w:rPr>
                <w:b/>
                <w:bCs/>
                <w:sz w:val="21"/>
                <w:szCs w:val="21"/>
              </w:rPr>
              <w:t xml:space="preserve">$3,581.00 Additional Assessment</w:t>
            </w:r>
            <w:r>
              <w:rPr>
                <w:sz w:val="21"/>
                <w:szCs w:val="21"/>
              </w:rPr>
              <w:t xml:space="preserve"> through available homeowners insurance proceeds or other payment. The $125.00 monthly payment arrangement is not available when the homeowner’s Loss Assessment Coverage is sufficient to fully satisfy the assessment.</w:t>
            </w:r>
          </w:p>
        </w:tc>
      </w:tr>
      <w:tr>
        <w:trPr>
          <w:cantSplit/>
        </w:trPr>
        <w:tc>
          <w:tcPr>
            <w:tcW w:type="dxa" w:w="2600"/>
            <w:tcMar>
              <w:top w:type="dxa" w:w="80"/>
              <w:left w:type="dxa" w:w="110"/>
              <w:bottom w:type="dxa" w:w="80"/>
              <w:right w:type="dxa" w:w="110"/>
            </w:tcMar>
            <w:vAlign w:val="top"/>
          </w:tcPr>
          <w:p>
            <w:pPr>
              <w:spacing w:after="0" w:line="259" w:lineRule="auto"/>
            </w:pPr>
            <w:r>
              <w:rPr>
                <w:b/>
                <w:bCs/>
                <w:color w:val="1B4D2E"/>
                <w:sz w:val="21"/>
                <w:szCs w:val="21"/>
              </w:rPr>
              <w:t xml:space="preserve">Insufficient Loss Assessment Coverage</w:t>
            </w:r>
          </w:p>
        </w:tc>
        <w:tc>
          <w:tcPr>
            <w:tcW w:type="dxa" w:w="6760"/>
            <w:tcMar>
              <w:top w:type="dxa" w:w="80"/>
              <w:left w:type="dxa" w:w="110"/>
              <w:bottom w:type="dxa" w:w="80"/>
              <w:right w:type="dxa" w:w="110"/>
            </w:tcMar>
            <w:vAlign w:val="top"/>
          </w:tcPr>
          <w:p>
            <w:pPr>
              <w:spacing w:after="60" w:line="259" w:lineRule="auto"/>
            </w:pPr>
            <w:r>
              <w:rPr>
                <w:sz w:val="21"/>
                <w:szCs w:val="21"/>
              </w:rPr>
              <w:t xml:space="preserve">The homeowner remains responsible for the entire </w:t>
            </w:r>
            <w:r>
              <w:rPr>
                <w:b/>
                <w:bCs/>
                <w:sz w:val="21"/>
                <w:szCs w:val="21"/>
              </w:rPr>
              <w:t xml:space="preserve">$3,581.00 Additional Assessment</w:t>
            </w:r>
            <w:r>
              <w:rPr>
                <w:sz w:val="21"/>
                <w:szCs w:val="21"/>
              </w:rPr>
              <w:t xml:space="preserve">. If the homeowner’s Loss Assessment Coverage is insufficient to fully satisfy the assessment, the homeowner must provide any available applicable insurance proceeds to the Association by </w:t>
            </w:r>
            <w:r>
              <w:rPr>
                <w:b/>
                <w:bCs/>
                <w:sz w:val="21"/>
                <w:szCs w:val="21"/>
              </w:rPr>
              <w:t xml:space="preserve">January 15, 2027</w:t>
            </w:r>
            <w:r>
              <w:rPr>
                <w:sz w:val="21"/>
                <w:szCs w:val="21"/>
              </w:rPr>
              <w:t xml:space="preserve">.</w:t>
            </w:r>
          </w:p>
          <w:p>
            <w:pPr>
              <w:spacing w:after="0" w:line="259" w:lineRule="auto"/>
            </w:pPr>
            <w:r>
              <w:rPr>
                <w:sz w:val="21"/>
                <w:szCs w:val="21"/>
              </w:rPr>
              <w:t xml:space="preserve">The homeowner must also provide acceptable documentation of the insurance shortfall and execute the Additional Assessment Payment Agreement by that date. The remaining unpaid balance may then be paid at </w:t>
            </w:r>
            <w:r>
              <w:rPr>
                <w:b/>
                <w:bCs/>
                <w:sz w:val="21"/>
                <w:szCs w:val="21"/>
              </w:rPr>
              <w:t xml:space="preserve">$125.00 per month</w:t>
            </w:r>
            <w:r>
              <w:rPr>
                <w:sz w:val="21"/>
                <w:szCs w:val="21"/>
              </w:rPr>
              <w:t xml:space="preserve">, beginning February 1, 2027. A $44 processing fee will be added to the final payment.</w:t>
            </w:r>
          </w:p>
        </w:tc>
      </w:tr>
      <w:tr>
        <w:trPr>
          <w:cantSplit/>
        </w:trPr>
        <w:tc>
          <w:tcPr>
            <w:tcW w:type="dxa" w:w="2600"/>
            <w:tcMar>
              <w:top w:type="dxa" w:w="80"/>
              <w:left w:type="dxa" w:w="110"/>
              <w:bottom w:type="dxa" w:w="80"/>
              <w:right w:type="dxa" w:w="110"/>
            </w:tcMar>
            <w:vAlign w:val="top"/>
          </w:tcPr>
          <w:p>
            <w:pPr>
              <w:spacing w:after="0" w:line="259" w:lineRule="auto"/>
            </w:pPr>
            <w:r>
              <w:rPr>
                <w:b/>
                <w:bCs/>
                <w:color w:val="1B4D2E"/>
                <w:sz w:val="21"/>
                <w:szCs w:val="21"/>
              </w:rPr>
              <w:t xml:space="preserve">Sale or Transfer</w:t>
            </w:r>
          </w:p>
        </w:tc>
        <w:tc>
          <w:tcPr>
            <w:tcW w:type="dxa" w:w="6760"/>
            <w:tcMar>
              <w:top w:type="dxa" w:w="80"/>
              <w:left w:type="dxa" w:w="110"/>
              <w:bottom w:type="dxa" w:w="80"/>
              <w:right w:type="dxa" w:w="110"/>
            </w:tcMar>
            <w:vAlign w:val="top"/>
          </w:tcPr>
          <w:p>
            <w:pPr>
              <w:spacing w:after="0" w:line="259" w:lineRule="auto"/>
            </w:pPr>
            <w:r>
              <w:rPr>
                <w:sz w:val="21"/>
                <w:szCs w:val="21"/>
              </w:rPr>
              <w:t xml:space="preserve">If the Unit is sold or transferred before the Additional Assessment is paid in full, the current Co-Owner must pay all outstanding assessments at or before closing or transfer, unless the purchasing owner agrees to assume the outstanding assessment obligation, as permitted under the Condominium Bylaws.</w:t>
            </w:r>
          </w:p>
        </w:tc>
      </w:tr>
    </w:tbl>
    <w:p>
      <w:pPr>
        <w:spacing w:before="0" w:after="160" w:line="120" w:lineRule="exact"/>
        <w:rPr>
          <w:sz w:val="8"/>
          <w:szCs w:val="8"/>
        </w:rPr>
      </w:pPr>
    </w:p>
    <w:p>
      <w:pPr>
        <w:pStyle w:val="Heading1"/>
      </w:pPr>
      <w:r>
        <w:rPr/>
        <w:t xml:space="preserve">Homeowners insurance Loss Assessment Coverage</w:t>
      </w:r>
    </w:p>
    <w:p>
      <w:pPr/>
      <w:r>
        <w:rPr/>
        <w:t xml:space="preserve">The Board understands that this Additional Assessment represents a significant expense for homeowners. Many condominium owners carry Loss Assessment Coverage as part of their personal homeowners insurance policy. Depending on the policy provisions, coverage limits, deductible, endorsements, and carrier requirements, an insurance carrier may reimburse some or all of this assessment.</w:t>
      </w:r>
    </w:p>
    <w:p>
      <w:pPr>
        <w:keepNext/>
      </w:pPr>
      <w:r>
        <w:rPr/>
        <w:t xml:space="preserve">To assist you in filing a claim with your personal insurance carrier, we have enclosed documentation typically requested by insurance companies, including:</w:t>
      </w:r>
    </w:p>
    <w:p>
      <w:pPr>
        <w:pStyle w:val="ListParagraph"/>
        <w:numPr>
          <w:ilvl w:val="0"/>
          <w:numId w:val="10"/>
        </w:numPr>
        <w:spacing w:after="80"/>
      </w:pPr>
      <w:r>
        <w:rPr>
          <w:b/>
          <w:bCs/>
        </w:rPr>
        <w:t xml:space="preserve">Official Board Resolution for Insurance Deductible – Additional Assessment</w:t>
      </w:r>
    </w:p>
    <w:p>
      <w:pPr>
        <w:pStyle w:val="ListParagraph"/>
        <w:numPr>
          <w:ilvl w:val="0"/>
          <w:numId w:val="10"/>
        </w:numPr>
        <w:spacing w:after="80"/>
      </w:pPr>
      <w:r>
        <w:rPr>
          <w:b/>
          <w:bCs/>
        </w:rPr>
        <w:t xml:space="preserve">Signed Sworn Proof of Loss</w:t>
      </w:r>
    </w:p>
    <w:p>
      <w:pPr>
        <w:pStyle w:val="ListParagraph"/>
        <w:numPr>
          <w:ilvl w:val="0"/>
          <w:numId w:val="10"/>
        </w:numPr>
        <w:spacing w:after="80"/>
      </w:pPr>
      <w:r>
        <w:rPr>
          <w:b/>
          <w:bCs/>
        </w:rPr>
        <w:t xml:space="preserve">CAU Declaration Page for the Master Insurance Policy</w:t>
      </w:r>
    </w:p>
    <w:p>
      <w:pPr>
        <w:pStyle w:val="ListParagraph"/>
        <w:numPr>
          <w:ilvl w:val="0"/>
          <w:numId w:val="10"/>
        </w:numPr>
        <w:spacing w:after="80"/>
      </w:pPr>
      <w:r>
        <w:rPr>
          <w:b/>
          <w:bCs/>
        </w:rPr>
        <w:t xml:space="preserve">Additional Assessment Payment Agreement</w:t>
      </w:r>
      <w:r>
        <w:rPr/>
        <w:t xml:space="preserve"> — applicable only to homeowners using the $125.00 monthly payment arrangement.</w:t>
      </w:r>
    </w:p>
    <w:p>
      <w:pPr/>
      <w:r>
        <w:rPr/>
        <w:t xml:space="preserve">We encourage you to contact your insurance agent or carrier as soon as possible and provide the applicable documentation. This assessment notice serves as the Association’s formal written demand for payment, which may be required by an insurance carrier when processing a Loss Assessment claim.</w:t>
      </w:r>
    </w:p>
    <w:p>
      <w:pPr>
        <w:pStyle w:val="Callout"/>
      </w:pPr>
      <w:r>
        <w:rPr/>
        <w:t xml:space="preserve">When speaking with your agent, specifically ask whether your homeowners insurance policy includes </w:t>
      </w:r>
      <w:r>
        <w:rPr>
          <w:b/>
          <w:bCs/>
        </w:rPr>
        <w:t xml:space="preserve">"Loss Assessment Coverage"</w:t>
      </w:r>
      <w:r>
        <w:rPr/>
        <w:t xml:space="preserve"> and whether that coverage applies to assessments resulting from a covered wind or hail insurance claim.</w:t>
      </w:r>
    </w:p>
    <w:p>
      <w:pPr/>
      <w:r>
        <w:rPr/>
        <w:t xml:space="preserve">Please remember that coverage varies by policy and individual circumstances. The Association cannot guarantee coverage or reimbursement and cannot provide insurance advice. Questions regarding your insurance coverage must be directed to your insurance agent or carrier.</w:t>
      </w:r>
    </w:p>
    <w:p>
      <w:pPr/>
      <w:r>
        <w:rPr/>
        <w:t xml:space="preserve">The Board remains committed to restoring the community while managing costs responsibly. We appreciate your cooperation and understanding as we work through this process.</w:t>
      </w:r>
    </w:p>
    <w:p>
      <w:pPr/>
      <w:r>
        <w:rPr/>
        <w:t xml:space="preserve">Should you have questions regarding the Additional Assessment or the Association’s payment arrangement, please contact the Association. Questions regarding Loss Assessment Coverage or insurance reimbursement must be directed to your personal insurance representative.</w:t>
      </w:r>
    </w:p>
    <w:p>
      <w:pPr>
        <w:keepNext/>
        <w:spacing w:before="200" w:after="240"/>
      </w:pPr>
      <w:r>
        <w:rPr/>
        <w:t xml:space="preserve">Sincerely,</w:t>
      </w:r>
    </w:p>
    <w:p>
      <w:pPr>
        <w:keepNext/>
        <w:spacing w:after="0"/>
      </w:pPr>
      <w:r>
        <w:rPr>
          <w:b/>
          <w:bCs/>
        </w:rPr>
        <w:t xml:space="preserve">Board of Directors</w:t>
      </w:r>
    </w:p>
    <w:p>
      <w:pPr>
        <w:spacing w:after="0"/>
      </w:pPr>
      <w:r>
        <w:rPr/>
        <w:t xml:space="preserve">Wallinwood Condominium Association</w:t>
      </w:r>
    </w:p>
    <w:sectPr>
      <w:headerReference w:type="default" r:id="rId7"/>
      <w:headerReference w:type="first" r:id="rId8"/>
      <w:footerReference w:type="default" r:id="rId9"/>
      <w:footerReference w:type="first" r:id="rId10"/>
      <w:pgSz w:w="12240" w:h="15840" w:orient="portrait"/>
      <w:pgMar w:top="1440" w:right="1440" w:bottom="1300" w:left="1440" w:header="600" w:footer="50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CBA0" w:sz="4" w:space="4"/>
      </w:pBdr>
      <w:tabs>
        <w:tab w:val="right" w:pos="9360"/>
      </w:tabs>
    </w:pPr>
    <w:r>
      <w:rPr>
        <w:color w:val="555555"/>
        <w:sz w:val="16"/>
        <w:szCs w:val="16"/>
      </w:rPr>
      <w:t xml:space="preserve">Notice of Additional Assessment for Insurance Deductible  ·  Revised November 4, 2026</w:t>
    </w:r>
    <w:r>
      <w:rPr>
        <w:color w:val="555555"/>
        <w:sz w:val="16"/>
        <w:szCs w:val="16"/>
      </w:rPr>
      <w:t xml:space="preserve">	Page </w:t>
    </w:r>
    <w:r>
      <w:rPr>
        <w:color w:val="555555"/>
        <w:sz w:val="16"/>
        <w:szCs w:val="16"/>
      </w:rPr>
      <w:fldChar w:fldCharType="begin"/>
      <w:instrText xml:space="preserve">PAGE</w:instrText>
      <w:fldChar w:fldCharType="separate"/>
      <w:fldChar w:fldCharType="end"/>
    </w:r>
    <w:r>
      <w:rPr>
        <w:color w:val="555555"/>
        <w:sz w:val="16"/>
        <w:szCs w:val="16"/>
      </w:rPr>
      <w:t xml:space="preserve"> of </w:t>
    </w:r>
    <w:r>
      <w:rPr>
        <w:color w:val="555555"/>
        <w:sz w:val="16"/>
        <w:szCs w:val="16"/>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8954A" w:sz="6" w:space="4"/>
      </w:pBdr>
      <w:spacing w:after="0"/>
      <w:jc w:val="center"/>
    </w:pPr>
    <w:r>
      <w:rPr>
        <w:color w:val="555555"/>
        <w:sz w:val="16"/>
        <w:szCs w:val="16"/>
      </w:rPr>
      <w:t xml:space="preserve">P.O. Box 281, Jenison, MI 49429   ·   info@wallinwood.org   ·   wallinwood.org</w:t>
    </w:r>
  </w:p>
  <w:p>
    <w:pPr>
      <w:spacing w:after="0"/>
      <w:jc w:val="center"/>
    </w:pPr>
    <w:r>
      <w:rPr>
        <w:color w:val="555555"/>
        <w:sz w:val="16"/>
        <w:szCs w:val="16"/>
      </w:rPr>
      <w:t xml:space="preserve">Notice of Additional Assessment for Insurance Deductible  ·  Revised November 4, 2026  ·  Page </w:t>
    </w:r>
    <w:r>
      <w:rPr>
        <w:color w:val="555555"/>
        <w:sz w:val="16"/>
        <w:szCs w:val="16"/>
      </w:rPr>
      <w:fldChar w:fldCharType="begin"/>
      <w:instrText xml:space="preserve">PAGE</w:instrText>
      <w:fldChar w:fldCharType="separate"/>
      <w:fldChar w:fldCharType="end"/>
    </w:r>
    <w:r>
      <w:rPr>
        <w:color w:val="555555"/>
        <w:sz w:val="16"/>
        <w:szCs w:val="16"/>
      </w:rPr>
      <w:t xml:space="preserve"> of </w:t>
    </w:r>
    <w:r>
      <w:rPr>
        <w:color w:val="555555"/>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8954A" w:sz="6" w:space="4"/>
      </w:pBdr>
      <w:tabs>
        <w:tab w:val="right" w:pos="9360"/>
      </w:tabs>
    </w:pPr>
    <w:r>
      <w:rPr>
        <w:rFonts w:ascii="Georgia" w:cs="Georgia" w:eastAsia="Georgia" w:hAnsi="Georgia"/>
        <w:b/>
        <w:bCs/>
        <w:color w:val="1B4D2E"/>
        <w:sz w:val="18"/>
        <w:szCs w:val="18"/>
      </w:rPr>
      <w:t xml:space="preserve">Wallinwood Condominium Association</w:t>
    </w:r>
    <w:r>
      <w:rPr>
        <w:color w:val="555555"/>
        <w:sz w:val="18"/>
        <w:szCs w:val="18"/>
      </w:rPr>
      <w:t xml:space="preserve">	Notice of additional assessment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1200"/>
      <w:gridCol w:w="8160"/>
    </w:tblGrid>
    <w:tr>
      <w:tc>
        <w:tcPr>
          <w:tcW w:type="dxa" w:w="1200"/>
          <w:tcMar>
            <w:top w:type="dxa" w:w="0"/>
            <w:left w:type="dxa" w:w="0"/>
            <w:bottom w:type="dxa" w:w="0"/>
            <w:right w:type="dxa" w:w="80"/>
          </w:tcMar>
          <w:vAlign w:val="center"/>
        </w:tcPr>
        <w:p>
          <w:pPr>
            <w:spacing w:after="0"/>
          </w:pPr>
          <w:r>
            <w:drawing>
              <wp:inline distT="0" distB="0" distL="0" distR="0">
                <wp:extent cx="62865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28650" cy="571500"/>
                        </a:xfrm>
                        <a:prstGeom prst="rect">
                          <a:avLst/>
                        </a:prstGeom>
                      </pic:spPr>
                    </pic:pic>
                  </a:graphicData>
                </a:graphic>
              </wp:inline>
            </w:drawing>
          </w:r>
        </w:p>
      </w:tc>
      <w:tc>
        <w:tcPr>
          <w:tcW w:type="dxa" w:w="8160"/>
          <w:tcMar>
            <w:top w:type="dxa" w:w="0"/>
            <w:left w:type="dxa" w:w="80"/>
            <w:bottom w:type="dxa" w:w="0"/>
            <w:right w:type="dxa" w:w="0"/>
          </w:tcMar>
          <w:vAlign w:val="center"/>
        </w:tcPr>
        <w:p>
          <w:pPr>
            <w:spacing w:after="20"/>
          </w:pPr>
          <w:r>
            <w:rPr>
              <w:rFonts w:ascii="Georgia" w:cs="Georgia" w:eastAsia="Georgia" w:hAnsi="Georgia"/>
              <w:b/>
              <w:bCs/>
              <w:color w:val="1B4D2E"/>
              <w:spacing w:val="10"/>
              <w:sz w:val="28"/>
              <w:szCs w:val="28"/>
            </w:rPr>
            <w:t xml:space="preserve">WALLINWOOD CONDOMINIUM ASSOCIATION</w:t>
          </w:r>
        </w:p>
        <w:p>
          <w:pPr>
            <w:spacing w:after="0"/>
          </w:pPr>
          <w:r>
            <w:rPr>
              <w:color w:val="555555"/>
              <w:sz w:val="18"/>
              <w:szCs w:val="18"/>
            </w:rPr>
            <w:t xml:space="preserve">Jenison, Michigan  ·  Established 1986</w:t>
          </w:r>
        </w:p>
      </w:tc>
    </w:tr>
  </w:tbl>
  <w:p>
    <w:pPr>
      <w:pBdr>
        <w:bottom w:val="single" w:color="B8954A" w:sz="12" w:space="4"/>
      </w:pBd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rPr>
        <w:color w:val="2E6B3E"/>
      </w:rPr>
    </w:lvl>
    <w:lvl w:ilvl="1" w15:tentative="1">
      <w:start w:val="1"/>
      <w:numFmt w:val="bullet"/>
      <w:lvlText w:val="–"/>
      <w:lvlJc w:val="left"/>
      <w:pPr>
        <w:ind w:left="1000" w:hanging="270"/>
      </w:pPr>
    </w:lvl>
  </w:abstractNum>
  <w:abstractNum w:abstractNumId="3" w15:restartNumberingAfterBreak="0">
    <w:multiLevelType w:val="hybridMultilevel"/>
    <w:lvl w:ilvl="0" w15:tentative="1">
      <w:start w:val="1"/>
      <w:numFmt w:val="decimal"/>
      <w:lvlText w:val="%1."/>
      <w:lvlJc w:val="left"/>
      <w:pPr>
        <w:ind w:left="540" w:hanging="360"/>
      </w:pPr>
    </w:lvl>
    <w:lvl w:ilvl="1" w15:tentative="1">
      <w:start w:val="1"/>
      <w:numFmt w:val="lowerLetter"/>
      <w:lvlText w:val="%2."/>
      <w:lvlJc w:val="left"/>
      <w:pPr>
        <w:ind w:left="1000" w:hanging="360"/>
      </w:pPr>
    </w:lvl>
  </w:abstractNum>
  <w:abstractNum w:abstractNumId="4" w15:restartNumberingAfterBreak="0">
    <w:multiLevelType w:val="hybridMultilevel"/>
    <w:lvl w:ilvl="0" w15:tentative="1">
      <w:start w:val="1"/>
      <w:numFmt w:val="decimal"/>
      <w:lvlText w:val="%1."/>
      <w:lvlJc w:val="left"/>
      <w:pPr>
        <w:ind w:left="540" w:hanging="400"/>
      </w:pPr>
      <w:rPr>
        <w:b/>
        <w:bCs/>
        <w:color w:val="1B4D2E"/>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10">
    <w:abstractNumId w:val="2"/>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3"/>
        <w:szCs w:val="23"/>
      </w:rPr>
    </w:rPrDefault>
    <w:pPrDefault/>
  </w:docDefaults>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pPr>
      <w:spacing w:after="90" w:line="252" w:lineRule="auto"/>
    </w:pPr>
    <w:rPr>
      <w:rFonts w:ascii="Calibri" w:cs="Calibri" w:eastAsia="Calibri" w:hAnsi="Calibri"/>
      <w:color w:val="1A1A1A"/>
      <w:sz w:val="23"/>
      <w:szCs w:val="23"/>
    </w:rPr>
  </w:style>
  <w:style w:type="paragraph" w:styleId="Title">
    <w:name w:val="Title"/>
    <w:basedOn w:val="Normal"/>
    <w:next w:val="Normal"/>
    <w:qFormat/>
    <w:pPr>
      <w:spacing w:before="0" w:after="20" w:line="240" w:lineRule="auto"/>
    </w:pPr>
    <w:rPr>
      <w:rFonts w:ascii="Georgia" w:cs="Georgia" w:eastAsia="Georgia" w:hAnsi="Georgia"/>
      <w:b/>
      <w:bCs/>
      <w:color w:val="1B4D2E"/>
      <w:sz w:val="30"/>
      <w:szCs w:val="30"/>
    </w:rPr>
  </w:style>
  <w:style w:type="paragraph" w:styleId="Subtitle">
    <w:name w:val="Subtitle"/>
    <w:basedOn w:val="Normal"/>
    <w:next w:val="Normal"/>
    <w:qFormat/>
    <w:pPr>
      <w:spacing w:before="0" w:after="0"/>
    </w:pPr>
    <w:rPr>
      <w:color w:val="555555"/>
      <w:sz w:val="19"/>
      <w:szCs w:val="19"/>
    </w:rPr>
  </w:style>
  <w:style w:type="paragraph" w:styleId="Heading1">
    <w:name w:val="Heading 1"/>
    <w:basedOn w:val="Normal"/>
    <w:next w:val="Normal"/>
    <w:qFormat/>
    <w:pPr>
      <w:keepNext/>
      <w:pBdr>
        <w:bottom w:val="single" w:color="1B4D2E" w:sz="6" w:space="2"/>
      </w:pBdr>
      <w:spacing w:before="260" w:after="100"/>
      <w:outlineLvl w:val="0"/>
    </w:pPr>
    <w:rPr>
      <w:rFonts w:ascii="Georgia" w:cs="Georgia" w:eastAsia="Georgia" w:hAnsi="Georgia"/>
      <w:b/>
      <w:bCs/>
      <w:color w:val="1B4D2E"/>
      <w:sz w:val="24"/>
      <w:szCs w:val="24"/>
    </w:rPr>
  </w:style>
  <w:style w:type="paragraph" w:styleId="Heading2">
    <w:name w:val="Heading 2"/>
    <w:basedOn w:val="Normal"/>
    <w:next w:val="Normal"/>
    <w:qFormat/>
    <w:pPr>
      <w:keepNext/>
      <w:spacing w:before="180" w:after="60"/>
      <w:outlineLvl w:val="1"/>
    </w:pPr>
    <w:rPr>
      <w:b/>
      <w:bCs/>
      <w:color w:val="2E6B3E"/>
      <w:sz w:val="23"/>
      <w:szCs w:val="23"/>
    </w:rPr>
  </w:style>
  <w:style w:type="paragraph" w:styleId="Heading3">
    <w:name w:val="Heading 3"/>
    <w:basedOn w:val="Normal"/>
    <w:next w:val="Normal"/>
    <w:qFormat/>
    <w:pPr>
      <w:keepNext/>
      <w:spacing w:before="140" w:after="60"/>
      <w:outlineLvl w:val="2"/>
    </w:pPr>
    <w:rPr>
      <w:b/>
      <w:bCs/>
      <w:color w:val="1A1A1A"/>
      <w:sz w:val="23"/>
      <w:szCs w:val="23"/>
    </w:rPr>
  </w:style>
  <w:style w:type="paragraph" w:styleId="Caption">
    <w:name w:val="Caption"/>
    <w:basedOn w:val="Normal"/>
    <w:next w:val="Normal"/>
    <w:qFormat/>
    <w:pPr>
      <w:spacing w:after="120"/>
    </w:pPr>
    <w:rPr>
      <w:i w:val="false"/>
      <w:iCs w:val="false"/>
      <w:color w:val="555555"/>
      <w:sz w:val="18"/>
      <w:szCs w:val="18"/>
    </w:rPr>
  </w:style>
  <w:style w:type="paragraph" w:styleId="Callout">
    <w:name w:val="Callout"/>
    <w:basedOn w:val="Normal"/>
    <w:next w:val="Normal"/>
    <w:qFormat/>
    <w:pPr>
      <w:pBdr>
        <w:top w:val="single" w:color="1B4D2E" w:sz="6" w:space="5"/>
        <w:left w:val="single" w:color="1B4D2E" w:sz="6" w:space="6"/>
        <w:bottom w:val="single" w:color="1B4D2E" w:sz="6" w:space="5"/>
        <w:right w:val="single" w:color="1B4D2E" w:sz="6" w:space="6"/>
      </w:pBdr>
      <w:spacing w:before="160" w:after="200"/>
      <w:ind w:left="130" w:right="130"/>
    </w:pPr>
    <w:rPr>
      <w:sz w:val="23"/>
      <w:szCs w:val="23"/>
    </w:rPr>
  </w:style>
  <w:style w:type="paragraph" w:styleId="Instruction">
    <w:name w:val="Template Instruction"/>
    <w:basedOn w:val="Normal"/>
    <w:next w:val="Normal"/>
    <w:qFormat/>
    <w:pPr>
      <w:spacing w:after="100"/>
    </w:pPr>
    <w:rPr>
      <w:i/>
      <w:iCs/>
      <w:color w:val="8A6A2B"/>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0" Type="http://schemas.openxmlformats.org/officeDocument/2006/relationships/image" Target="media/5c0b2ff13fd1c634945b5e1bcf44d44b35bca810.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Additional Assessment for Insurance Deductible</dc:title>
  <dc:subject>Resident notice</dc:subject>
  <dc:creator>Wallinwood Condominium Association</dc:creator>
  <dc:description>Wallinwood Board template</dc:description>
  <cp:lastModifiedBy>Un-named</cp:lastModifiedBy>
  <cp:revision>1</cp:revision>
  <dcterms:created xsi:type="dcterms:W3CDTF">2026-10-10T15:07:32.115Z</dcterms:created>
  <dcterms:modified xsi:type="dcterms:W3CDTF">2026-10-10T15:07:32.115Z</dcterms:modified>
</cp:coreProperties>
</file>

<file path=docProps/custom.xml><?xml version="1.0" encoding="utf-8"?>
<Properties xmlns="http://schemas.openxmlformats.org/officeDocument/2006/custom-properties" xmlns:vt="http://schemas.openxmlformats.org/officeDocument/2006/docPropsVTypes"/>
</file>