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none" w:sz="0" w:color="auto"/>
          <w:left w:val="none" w:sz="0" w:color="auto"/>
          <w:bottom w:val="single" w:color="1B4D2E" w:sz="12"/>
          <w:right w:val="none" w:sz="0" w:color="auto"/>
          <w:insideH w:val="none" w:sz="0" w:color="auto"/>
          <w:insideV w:val="none" w:sz="0" w:color="auto"/>
        </w:tblBorders>
        <w:tblLayout w:type="fixed"/>
        <w:tblCellMar>
          <w:left w:w="0" w:type="dxa"/>
          <w:right w:w="0" w:type="dxa"/>
        </w:tblCellMar>
      </w:tblPr>
      <w:tblGrid>
        <w:gridCol w:w="6900"/>
        <w:gridCol w:w="2460"/>
      </w:tblGrid>
      <w:tr>
        <w:tc>
          <w:tcPr>
            <w:tcW w:type="dxa" w:w="6900"/>
            <w:tcMar>
              <w:top w:type="dxa" w:w="0"/>
              <w:left w:type="dxa" w:w="0"/>
              <w:bottom w:type="dxa" w:w="90"/>
              <w:right w:type="dxa" w:w="0"/>
            </w:tcMar>
            <w:vAlign w:val="bottom"/>
          </w:tcPr>
          <w:p>
            <w:pPr>
              <w:pStyle w:val="Title"/>
            </w:pPr>
            <w:r>
              <w:rPr/>
              <w:t xml:space="preserve">Additional Assessment for Insurance Deductible</w:t>
            </w:r>
          </w:p>
          <w:p>
            <w:pPr>
              <w:pStyle w:val="Subtitle"/>
            </w:pPr>
            <w:r>
              <w:rPr/>
              <w:t xml:space="preserve">Resolution of the Board of Directors, Wallinwood Condominium Association</w:t>
            </w:r>
          </w:p>
        </w:tc>
        <w:tc>
          <w:tcPr>
            <w:tcW w:type="dxa" w:w="2460"/>
            <w:tcMar>
              <w:top w:type="dxa" w:w="0"/>
              <w:left w:type="dxa" w:w="0"/>
              <w:bottom w:type="dxa" w:w="100"/>
              <w:right w:type="dxa" w:w="0"/>
            </w:tcMar>
            <w:vAlign w:val="bottom"/>
          </w:tcPr>
          <w:p>
            <w:pPr>
              <w:spacing w:after="20" w:line="259" w:lineRule="auto"/>
              <w:jc w:val="right"/>
            </w:pPr>
            <w:r>
              <w:rPr>
                <w:b/>
                <w:bCs/>
                <w:caps/>
                <w:color w:val="1B4D2E"/>
                <w:spacing w:val="20"/>
                <w:sz w:val="18"/>
                <w:szCs w:val="18"/>
              </w:rPr>
              <w:t xml:space="preserve">Board Resolution</w:t>
            </w:r>
          </w:p>
          <w:p>
            <w:pPr>
              <w:spacing w:after="0" w:line="259" w:lineRule="auto"/>
              <w:jc w:val="right"/>
            </w:pPr>
            <w:r>
              <w:rPr>
                <w:color w:val="555555"/>
                <w:sz w:val="17"/>
                <w:szCs w:val="17"/>
              </w:rPr>
              <w:t xml:space="preserve">CAU Claim #129675-1</w:t>
            </w:r>
          </w:p>
        </w:tc>
      </w:tr>
    </w:tbl>
    <w:p>
      <w:pPr>
        <w:spacing w:before="0" w:after="0" w:line="120" w:lineRule="exact"/>
        <w:rPr>
          <w:sz w:val="8"/>
          <w:szCs w:val="8"/>
        </w:rPr>
      </w:pPr>
    </w:p>
    <w:tbl>
      <w:tblPr>
        <w:tblW w:type="dxa" w:w="9360"/>
        <w:tblBorders>
          <w:top w:val="none" w:sz="0" w:color="auto"/>
          <w:left w:val="none" w:sz="0" w:color="auto"/>
          <w:bottom w:val="single" w:color="8C8C8C" w:sz="4"/>
          <w:right w:val="none" w:sz="0" w:color="auto"/>
          <w:insideH w:val="none" w:sz="0" w:color="auto"/>
          <w:insideV w:val="single" w:color="8C8C8C" w:sz="4"/>
        </w:tblBorders>
        <w:tblLayout w:type="fixed"/>
        <w:tblCellMar>
          <w:left w:w="0" w:type="dxa"/>
          <w:right w:w="0" w:type="dxa"/>
        </w:tblCellMar>
      </w:tblPr>
      <w:tblGrid>
        <w:gridCol w:w="2200"/>
        <w:gridCol w:w="2300"/>
        <w:gridCol w:w="2500"/>
        <w:gridCol w:w="2360"/>
      </w:tblGrid>
      <w:tr>
        <w:trPr>
          <w:cantSplit/>
        </w:trPr>
        <w:tc>
          <w:tcPr>
            <w:tcW w:type="dxa" w:w="2200"/>
            <w:tcMar>
              <w:top w:type="dxa" w:w="70"/>
              <w:left w:type="dxa" w:w="110"/>
              <w:bottom w:type="dxa" w:w="80"/>
              <w:right w:type="dxa" w:w="110"/>
            </w:tcMar>
            <w:vAlign w:val="top"/>
          </w:tcPr>
          <w:p>
            <w:pPr>
              <w:spacing w:after="20" w:line="259" w:lineRule="auto"/>
            </w:pPr>
            <w:r>
              <w:rPr>
                <w:b/>
                <w:bCs/>
                <w:caps/>
                <w:color w:val="555555"/>
                <w:spacing w:val="6"/>
                <w:sz w:val="16"/>
                <w:szCs w:val="16"/>
              </w:rPr>
              <w:t xml:space="preserve">Adopted</w:t>
            </w:r>
          </w:p>
          <w:p>
            <w:pPr>
              <w:spacing w:after="0" w:line="259" w:lineRule="auto"/>
            </w:pPr>
            <w:r>
              <w:rPr>
                <w:sz w:val="21"/>
                <w:szCs w:val="21"/>
              </w:rPr>
              <w:t xml:space="preserve">November 4, 2026</w:t>
            </w:r>
          </w:p>
        </w:tc>
        <w:tc>
          <w:tcPr>
            <w:tcW w:type="dxa" w:w="2300"/>
            <w:tcMar>
              <w:top w:type="dxa" w:w="70"/>
              <w:left w:type="dxa" w:w="110"/>
              <w:bottom w:type="dxa" w:w="80"/>
              <w:right w:type="dxa" w:w="110"/>
            </w:tcMar>
            <w:vAlign w:val="top"/>
          </w:tcPr>
          <w:p>
            <w:pPr>
              <w:spacing w:after="20" w:line="259" w:lineRule="auto"/>
            </w:pPr>
            <w:r>
              <w:rPr>
                <w:b/>
                <w:bCs/>
                <w:caps/>
                <w:color w:val="555555"/>
                <w:spacing w:val="6"/>
                <w:sz w:val="16"/>
                <w:szCs w:val="16"/>
              </w:rPr>
              <w:t xml:space="preserve">Total deductible</w:t>
            </w:r>
          </w:p>
          <w:p>
            <w:pPr>
              <w:spacing w:after="0" w:line="259" w:lineRule="auto"/>
            </w:pPr>
            <w:r>
              <w:rPr>
                <w:sz w:val="21"/>
                <w:szCs w:val="21"/>
              </w:rPr>
              <w:t xml:space="preserve">$307,961.65</w:t>
            </w:r>
          </w:p>
        </w:tc>
        <w:tc>
          <w:tcPr>
            <w:tcW w:type="dxa" w:w="2500"/>
            <w:tcMar>
              <w:top w:type="dxa" w:w="70"/>
              <w:left w:type="dxa" w:w="110"/>
              <w:bottom w:type="dxa" w:w="80"/>
              <w:right w:type="dxa" w:w="110"/>
            </w:tcMar>
            <w:vAlign w:val="top"/>
          </w:tcPr>
          <w:p>
            <w:pPr>
              <w:spacing w:after="20" w:line="259" w:lineRule="auto"/>
            </w:pPr>
            <w:r>
              <w:rPr>
                <w:b/>
                <w:bCs/>
                <w:caps/>
                <w:color w:val="555555"/>
                <w:spacing w:val="6"/>
                <w:sz w:val="16"/>
                <w:szCs w:val="16"/>
              </w:rPr>
              <w:t xml:space="preserve">Per unit (86 units)</w:t>
            </w:r>
          </w:p>
          <w:p>
            <w:pPr>
              <w:spacing w:after="0" w:line="259" w:lineRule="auto"/>
            </w:pPr>
            <w:r>
              <w:rPr>
                <w:sz w:val="21"/>
                <w:szCs w:val="21"/>
              </w:rPr>
              <w:t xml:space="preserve">$3,581.00</w:t>
            </w:r>
          </w:p>
        </w:tc>
        <w:tc>
          <w:tcPr>
            <w:tcW w:type="dxa" w:w="2360"/>
            <w:tcMar>
              <w:top w:type="dxa" w:w="70"/>
              <w:left w:type="dxa" w:w="110"/>
              <w:bottom w:type="dxa" w:w="80"/>
              <w:right w:type="dxa" w:w="110"/>
            </w:tcMar>
            <w:vAlign w:val="top"/>
          </w:tcPr>
          <w:p>
            <w:pPr>
              <w:spacing w:after="20" w:line="259" w:lineRule="auto"/>
            </w:pPr>
            <w:r>
              <w:rPr>
                <w:b/>
                <w:bCs/>
                <w:caps/>
                <w:color w:val="555555"/>
                <w:spacing w:val="6"/>
                <w:sz w:val="16"/>
                <w:szCs w:val="16"/>
              </w:rPr>
              <w:t xml:space="preserve">Revision</w:t>
            </w:r>
          </w:p>
          <w:p>
            <w:pPr>
              <w:spacing w:after="0" w:line="259" w:lineRule="auto"/>
            </w:pPr>
            <w:r>
              <w:rPr>
                <w:sz w:val="21"/>
                <w:szCs w:val="21"/>
              </w:rPr>
              <w:t xml:space="preserve">3 – November 4, 2026</w:t>
            </w:r>
          </w:p>
        </w:tc>
      </w:tr>
    </w:tbl>
    <w:p>
      <w:pPr>
        <w:spacing w:before="0" w:after="200" w:line="120" w:lineRule="exact"/>
        <w:rPr>
          <w:sz w:val="8"/>
          <w:szCs w:val="8"/>
        </w:rPr>
      </w:pPr>
    </w:p>
    <w:p>
      <w:pPr>
        <w:spacing w:after="160"/>
      </w:pPr>
      <w:r>
        <w:rPr>
          <w:b/>
          <w:bCs/>
        </w:rPr>
        <w:t xml:space="preserve">WHEREAS,</w:t>
      </w:r>
      <w:r>
        <w:rPr/>
        <w:t xml:space="preserve"> Wallinwood Condominium Association ("Association") sustained wind and hail property damage to common elements affecting the 22 condominium buildings, comprising 86 residential units, as a result of a covered storm event occurring on March 10, 2026;</w:t>
      </w:r>
    </w:p>
    <w:p>
      <w:pPr>
        <w:spacing w:after="160"/>
      </w:pPr>
      <w:r>
        <w:rPr>
          <w:b/>
          <w:bCs/>
        </w:rPr>
        <w:t xml:space="preserve">WHEREAS,</w:t>
      </w:r>
      <w:r>
        <w:rPr/>
        <w:t xml:space="preserve"> the Association maintains master property casualty insurance through Community Association Underwriters of America, Inc. (CAU Policy #CAU515229-6, Claim #129675-1), which carries an aggregate 1% per-building master policy deductible totaling </w:t>
      </w:r>
      <w:r>
        <w:rPr>
          <w:b/>
          <w:bCs/>
        </w:rPr>
        <w:t xml:space="preserve">$307,961.65</w:t>
      </w:r>
      <w:r>
        <w:rPr/>
        <w:t xml:space="preserve">;</w:t>
      </w:r>
    </w:p>
    <w:p>
      <w:pPr>
        <w:spacing w:after="160"/>
      </w:pPr>
      <w:r>
        <w:rPr>
          <w:b/>
          <w:bCs/>
        </w:rPr>
        <w:t xml:space="preserve">WHEREAS,</w:t>
      </w:r>
      <w:r>
        <w:rPr/>
        <w:t xml:space="preserve"> pursuant to Article IV of the Master Deed and Article V, Section 2, and Article VI, Section 3(g), of the Wallinwood Condominium Bylaws, the Board of Directors has the authority to adopt an additional assessment in the event of emergency or unforeseen developments, when the originally adopted budget is insufficient, or when necessary to replace existing common elements, including an assessment to cover the difference between insurance proceeds received and the costs of repairing and reconstructing damaged common elements;</w:t>
      </w:r>
    </w:p>
    <w:p>
      <w:pPr>
        <w:spacing w:after="160"/>
      </w:pPr>
      <w:r>
        <w:rPr>
          <w:b/>
          <w:bCs/>
        </w:rPr>
        <w:t xml:space="preserve">WHEREAS,</w:t>
      </w:r>
      <w:r>
        <w:rPr/>
        <w:t xml:space="preserve"> the March 10, 2026 wind and hail casualty loss and the associated master property insurance deductible constitute circumstances requiring an additional assessment to fund the Association’s share of the costs of restoring the damaged common elements;</w:t>
      </w:r>
    </w:p>
    <w:p>
      <w:pPr>
        <w:spacing w:after="160"/>
      </w:pPr>
      <w:r>
        <w:rPr>
          <w:b/>
          <w:bCs/>
        </w:rPr>
        <w:t xml:space="preserve">NOW, THEREFORE, BE IT RESOLVED,</w:t>
      </w:r>
      <w:r>
        <w:rPr/>
        <w:t xml:space="preserve"> that the Board of Directors hereby formally adopts and levies an </w:t>
      </w:r>
      <w:r>
        <w:rPr>
          <w:b/>
          <w:bCs/>
        </w:rPr>
        <w:t xml:space="preserve">Additional Assessment for Insurance Deductible</w:t>
      </w:r>
      <w:r>
        <w:rPr/>
        <w:t xml:space="preserve"> in the total aggregate amount of </w:t>
      </w:r>
      <w:r>
        <w:rPr>
          <w:b/>
          <w:bCs/>
        </w:rPr>
        <w:t xml:space="preserve">$307,961.65</w:t>
      </w:r>
      <w:r>
        <w:rPr/>
        <w:t xml:space="preserve">, allocated equally among all 86 residential units;</w:t>
      </w:r>
    </w:p>
    <w:p>
      <w:pPr>
        <w:spacing w:after="160"/>
      </w:pPr>
      <w:r>
        <w:rPr>
          <w:b/>
          <w:bCs/>
        </w:rPr>
        <w:t xml:space="preserve">BE IT FURTHER RESOLVED,</w:t>
      </w:r>
      <w:r>
        <w:rPr/>
        <w:t xml:space="preserve"> that the Additional Assessment allocated to each residential unit is </w:t>
      </w:r>
      <w:r>
        <w:rPr>
          <w:b/>
          <w:bCs/>
        </w:rPr>
        <w:t xml:space="preserve">$3,581.00 per unit</w:t>
      </w:r>
      <w:r>
        <w:rPr/>
        <w:t xml:space="preserve"> (based on an exact calculated share of approximately $3,580.95), due and payable on </w:t>
      </w:r>
      <w:r>
        <w:rPr>
          <w:b/>
          <w:bCs/>
        </w:rPr>
        <w:t xml:space="preserve">February 1, 2027</w:t>
      </w:r>
      <w:r>
        <w:rPr/>
        <w:t xml:space="preserve">, for the purpose of funding the Association’s master property insurance deductible arising from the March 10, 2026 casualty loss under CAU Claim #129675-1;</w:t>
      </w:r>
    </w:p>
    <w:p>
      <w:pPr>
        <w:spacing w:after="160"/>
      </w:pPr>
      <w:r>
        <w:rPr>
          <w:b/>
          <w:bCs/>
        </w:rPr>
        <w:t xml:space="preserve">BE IT FURTHER RESOLVED,</w:t>
      </w:r>
      <w:r>
        <w:rPr/>
        <w:t xml:space="preserve"> that co-owners may submit this resolution and applicable supporting documentation to their individual homeowners insurance carriers for consideration of reimbursement under any applicable loss assessment coverage;</w:t>
      </w:r>
    </w:p>
    <w:p>
      <w:pPr>
        <w:spacing w:after="160"/>
      </w:pPr>
      <w:r>
        <w:rPr>
          <w:b/>
          <w:bCs/>
        </w:rPr>
        <w:t xml:space="preserve">BE IT FURTHER RESOLVED,</w:t>
      </w:r>
      <w:r>
        <w:rPr/>
        <w:t xml:space="preserve"> that this Additional Assessment is adopted pursuant to the Board’s authority under the Wallinwood Condominium Master Deed and Condominium Bylaws and is not a special assessment requiring a vote of the co-owners.</w:t>
      </w:r>
    </w:p>
    <w:p>
      <w:pPr>
        <w:keepNext/>
        <w:spacing w:before="200" w:after="120"/>
      </w:pPr>
      <w:r>
        <w:rPr/>
        <w:t xml:space="preserve">Adopted by the Board of Directors of Wallinwood Condominium Association on </w:t>
      </w:r>
      <w:r>
        <w:rPr>
          <w:b/>
          <w:bCs/>
        </w:rPr>
        <w:t xml:space="preserve">November 4, 2026</w:t>
      </w:r>
      <w:r>
        <w:rPr/>
        <w:t xml:space="preserve">.</w:t>
      </w:r>
    </w:p>
    <w:p>
      <w:pPr>
        <w:pStyle w:val="Heading2"/>
      </w:pPr>
      <w:r>
        <w:rPr/>
        <w:t xml:space="preserve">Board of Directors</w:t>
      </w:r>
    </w:p>
    <w:tbl>
      <w:tblPr>
        <w:tblW w:type="dxa" w:w="9360"/>
        <w:tblBorders>
          <w:top w:val="none" w:sz="0" w:color="auto"/>
          <w:left w:val="none" w:sz="0" w:color="auto"/>
          <w:bottom w:val="none" w:sz="0" w:color="auto"/>
          <w:right w:val="none" w:sz="0" w:color="auto"/>
          <w:insideH w:val="none" w:sz="0" w:color="auto"/>
          <w:insideV w:val="none" w:sz="0" w:color="auto"/>
        </w:tblBorders>
        <w:tblLayout w:type="fixed"/>
        <w:tblCellMar>
          <w:left w:w="0" w:type="dxa"/>
          <w:right w:w="0" w:type="dxa"/>
        </w:tblCellMar>
      </w:tblPr>
      <w:tblGrid>
        <w:gridCol w:w="4300"/>
        <w:gridCol w:w="240"/>
        <w:gridCol w:w="3000"/>
        <w:gridCol w:w="240"/>
        <w:gridCol w:w="1580"/>
      </w:tblGrid>
      <w:tr>
        <w:trPr>
          <w:cantSplit/>
          <w:trHeight w:val="640"/>
        </w:trPr>
        <w:tc>
          <w:tcPr>
            <w:tcW w:type="dxa" w:w="4300"/>
            <w:tcBorders>
              <w:bottom w:val="single" w:color="1A1A1A" w:sz="6"/>
            </w:tcBorders>
            <w:tcMar>
              <w:top w:type="dxa" w:w="0"/>
              <w:left w:type="dxa" w:w="0"/>
              <w:bottom w:type="dxa" w:w="0"/>
              <w:right w:type="dxa" w:w="0"/>
            </w:tcMar>
            <w:vAlign w:val="bottom"/>
          </w:tcPr>
          <w:p>
            <w:pPr>
              <w:spacing w:after="0" w:line="259" w:lineRule="auto"/>
            </w:pPr>
          </w:p>
        </w:tc>
        <w:tc>
          <w:tcPr>
            <w:tcW w:type="dxa" w:w="240"/>
            <w:tcMar>
              <w:top w:type="dxa" w:w="0"/>
              <w:left w:type="dxa" w:w="0"/>
              <w:bottom w:type="dxa" w:w="0"/>
              <w:right w:type="dxa" w:w="0"/>
            </w:tcMar>
            <w:vAlign w:val="bottom"/>
          </w:tcPr>
          <w:p>
            <w:pPr>
              <w:spacing w:after="0" w:line="259" w:lineRule="auto"/>
            </w:pPr>
          </w:p>
        </w:tc>
        <w:tc>
          <w:tcPr>
            <w:tcW w:type="dxa" w:w="3000"/>
            <w:tcBorders>
              <w:bottom w:val="single" w:color="1A1A1A" w:sz="6"/>
            </w:tcBorders>
            <w:tcMar>
              <w:top w:type="dxa" w:w="0"/>
              <w:left w:type="dxa" w:w="0"/>
              <w:bottom w:type="dxa" w:w="0"/>
              <w:right w:type="dxa" w:w="0"/>
            </w:tcMar>
            <w:vAlign w:val="bottom"/>
          </w:tcPr>
          <w:p>
            <w:pPr>
              <w:spacing w:after="0" w:line="259" w:lineRule="auto"/>
            </w:pPr>
          </w:p>
        </w:tc>
        <w:tc>
          <w:tcPr>
            <w:tcW w:type="dxa" w:w="240"/>
            <w:tcMar>
              <w:top w:type="dxa" w:w="0"/>
              <w:left w:type="dxa" w:w="0"/>
              <w:bottom w:type="dxa" w:w="0"/>
              <w:right w:type="dxa" w:w="0"/>
            </w:tcMar>
            <w:vAlign w:val="bottom"/>
          </w:tcPr>
          <w:p>
            <w:pPr>
              <w:spacing w:after="0" w:line="259" w:lineRule="auto"/>
            </w:pPr>
          </w:p>
        </w:tc>
        <w:tc>
          <w:tcPr>
            <w:tcW w:type="dxa" w:w="1580"/>
            <w:tcBorders>
              <w:bottom w:val="single" w:color="1A1A1A" w:sz="6"/>
            </w:tcBorders>
            <w:tcMar>
              <w:top w:type="dxa" w:w="0"/>
              <w:left w:type="dxa" w:w="0"/>
              <w:bottom w:type="dxa" w:w="0"/>
              <w:right w:type="dxa" w:w="0"/>
            </w:tcMar>
            <w:vAlign w:val="bottom"/>
          </w:tcPr>
          <w:p>
            <w:pPr>
              <w:spacing w:after="0" w:line="259" w:lineRule="auto"/>
            </w:pPr>
          </w:p>
        </w:tc>
      </w:tr>
      <w:tr>
        <w:trPr>
          <w:cantSplit/>
          <w:trHeight w:val="300"/>
        </w:trPr>
        <w:tc>
          <w:tcPr>
            <w:tcW w:type="dxa" w:w="4300"/>
            <w:tcMar>
              <w:top w:type="dxa" w:w="40"/>
              <w:left w:type="dxa" w:w="0"/>
              <w:bottom w:type="dxa" w:w="0"/>
              <w:right w:type="dxa" w:w="0"/>
            </w:tcMar>
            <w:vAlign w:val="top"/>
          </w:tcPr>
          <w:p>
            <w:pPr>
              <w:spacing w:after="0" w:line="259" w:lineRule="auto"/>
            </w:pPr>
            <w:r>
              <w:rPr>
                <w:b/>
                <w:bCs/>
                <w:caps/>
                <w:color w:val="555555"/>
                <w:spacing w:val="6"/>
                <w:sz w:val="16"/>
                <w:szCs w:val="16"/>
              </w:rPr>
              <w:t xml:space="preserve">Signature – President</w:t>
            </w:r>
          </w:p>
        </w:tc>
        <w:tc>
          <w:tcPr>
            <w:tcW w:type="dxa" w:w="240"/>
            <w:tcMar>
              <w:top w:type="dxa" w:w="40"/>
              <w:left w:type="dxa" w:w="0"/>
              <w:bottom w:type="dxa" w:w="0"/>
              <w:right w:type="dxa" w:w="0"/>
            </w:tcMar>
            <w:vAlign w:val="top"/>
          </w:tcPr>
          <w:p>
            <w:pPr>
              <w:spacing w:after="0" w:line="259" w:lineRule="auto"/>
            </w:pPr>
          </w:p>
        </w:tc>
        <w:tc>
          <w:tcPr>
            <w:tcW w:type="dxa" w:w="3000"/>
            <w:tcMar>
              <w:top w:type="dxa" w:w="40"/>
              <w:left w:type="dxa" w:w="0"/>
              <w:bottom w:type="dxa" w:w="0"/>
              <w:right w:type="dxa" w:w="0"/>
            </w:tcMar>
            <w:vAlign w:val="top"/>
          </w:tcPr>
          <w:p>
            <w:pPr>
              <w:spacing w:after="0" w:line="259" w:lineRule="auto"/>
            </w:pPr>
            <w:r>
              <w:rPr>
                <w:b/>
                <w:bCs/>
                <w:caps/>
                <w:color w:val="555555"/>
                <w:spacing w:val="6"/>
                <w:sz w:val="16"/>
                <w:szCs w:val="16"/>
              </w:rPr>
              <w:t xml:space="preserve">Printed name</w:t>
            </w:r>
          </w:p>
        </w:tc>
        <w:tc>
          <w:tcPr>
            <w:tcW w:type="dxa" w:w="240"/>
            <w:tcMar>
              <w:top w:type="dxa" w:w="40"/>
              <w:left w:type="dxa" w:w="0"/>
              <w:bottom w:type="dxa" w:w="0"/>
              <w:right w:type="dxa" w:w="0"/>
            </w:tcMar>
            <w:vAlign w:val="top"/>
          </w:tcPr>
          <w:p>
            <w:pPr>
              <w:spacing w:after="0" w:line="259" w:lineRule="auto"/>
            </w:pPr>
          </w:p>
        </w:tc>
        <w:tc>
          <w:tcPr>
            <w:tcW w:type="dxa" w:w="1580"/>
            <w:tcMar>
              <w:top w:type="dxa" w:w="40"/>
              <w:left w:type="dxa" w:w="0"/>
              <w:bottom w:type="dxa" w:w="0"/>
              <w:right w:type="dxa" w:w="0"/>
            </w:tcMar>
            <w:vAlign w:val="top"/>
          </w:tcPr>
          <w:p>
            <w:pPr>
              <w:spacing w:after="0" w:line="259" w:lineRule="auto"/>
            </w:pPr>
            <w:r>
              <w:rPr>
                <w:b/>
                <w:bCs/>
                <w:caps/>
                <w:color w:val="555555"/>
                <w:spacing w:val="6"/>
                <w:sz w:val="16"/>
                <w:szCs w:val="16"/>
              </w:rPr>
              <w:t xml:space="preserve">Date</w:t>
            </w:r>
          </w:p>
        </w:tc>
      </w:tr>
      <w:tr>
        <w:trPr>
          <w:cantSplit/>
          <w:trHeight w:val="640"/>
        </w:trPr>
        <w:tc>
          <w:tcPr>
            <w:tcW w:type="dxa" w:w="4300"/>
            <w:tcBorders>
              <w:bottom w:val="single" w:color="1A1A1A" w:sz="6"/>
            </w:tcBorders>
            <w:tcMar>
              <w:top w:type="dxa" w:w="0"/>
              <w:left w:type="dxa" w:w="0"/>
              <w:bottom w:type="dxa" w:w="0"/>
              <w:right w:type="dxa" w:w="0"/>
            </w:tcMar>
            <w:vAlign w:val="bottom"/>
          </w:tcPr>
          <w:p>
            <w:pPr>
              <w:spacing w:after="0" w:line="259" w:lineRule="auto"/>
            </w:pPr>
          </w:p>
        </w:tc>
        <w:tc>
          <w:tcPr>
            <w:tcW w:type="dxa" w:w="240"/>
            <w:tcMar>
              <w:top w:type="dxa" w:w="0"/>
              <w:left w:type="dxa" w:w="0"/>
              <w:bottom w:type="dxa" w:w="0"/>
              <w:right w:type="dxa" w:w="0"/>
            </w:tcMar>
            <w:vAlign w:val="bottom"/>
          </w:tcPr>
          <w:p>
            <w:pPr>
              <w:spacing w:after="0" w:line="259" w:lineRule="auto"/>
            </w:pPr>
          </w:p>
        </w:tc>
        <w:tc>
          <w:tcPr>
            <w:tcW w:type="dxa" w:w="3000"/>
            <w:tcBorders>
              <w:bottom w:val="single" w:color="1A1A1A" w:sz="6"/>
            </w:tcBorders>
            <w:tcMar>
              <w:top w:type="dxa" w:w="0"/>
              <w:left w:type="dxa" w:w="0"/>
              <w:bottom w:type="dxa" w:w="0"/>
              <w:right w:type="dxa" w:w="0"/>
            </w:tcMar>
            <w:vAlign w:val="bottom"/>
          </w:tcPr>
          <w:p>
            <w:pPr>
              <w:spacing w:after="0" w:line="259" w:lineRule="auto"/>
            </w:pPr>
          </w:p>
        </w:tc>
        <w:tc>
          <w:tcPr>
            <w:tcW w:type="dxa" w:w="240"/>
            <w:tcMar>
              <w:top w:type="dxa" w:w="0"/>
              <w:left w:type="dxa" w:w="0"/>
              <w:bottom w:type="dxa" w:w="0"/>
              <w:right w:type="dxa" w:w="0"/>
            </w:tcMar>
            <w:vAlign w:val="bottom"/>
          </w:tcPr>
          <w:p>
            <w:pPr>
              <w:spacing w:after="0" w:line="259" w:lineRule="auto"/>
            </w:pPr>
          </w:p>
        </w:tc>
        <w:tc>
          <w:tcPr>
            <w:tcW w:type="dxa" w:w="1580"/>
            <w:tcBorders>
              <w:bottom w:val="single" w:color="1A1A1A" w:sz="6"/>
            </w:tcBorders>
            <w:tcMar>
              <w:top w:type="dxa" w:w="0"/>
              <w:left w:type="dxa" w:w="0"/>
              <w:bottom w:type="dxa" w:w="0"/>
              <w:right w:type="dxa" w:w="0"/>
            </w:tcMar>
            <w:vAlign w:val="bottom"/>
          </w:tcPr>
          <w:p>
            <w:pPr>
              <w:spacing w:after="0" w:line="259" w:lineRule="auto"/>
            </w:pPr>
          </w:p>
        </w:tc>
      </w:tr>
      <w:tr>
        <w:trPr>
          <w:cantSplit/>
          <w:trHeight w:val="300"/>
        </w:trPr>
        <w:tc>
          <w:tcPr>
            <w:tcW w:type="dxa" w:w="4300"/>
            <w:tcMar>
              <w:top w:type="dxa" w:w="40"/>
              <w:left w:type="dxa" w:w="0"/>
              <w:bottom w:type="dxa" w:w="0"/>
              <w:right w:type="dxa" w:w="0"/>
            </w:tcMar>
            <w:vAlign w:val="top"/>
          </w:tcPr>
          <w:p>
            <w:pPr>
              <w:spacing w:after="0" w:line="259" w:lineRule="auto"/>
            </w:pPr>
            <w:r>
              <w:rPr>
                <w:b/>
                <w:bCs/>
                <w:caps/>
                <w:color w:val="555555"/>
                <w:spacing w:val="6"/>
                <w:sz w:val="16"/>
                <w:szCs w:val="16"/>
              </w:rPr>
              <w:t xml:space="preserve">Signature – Secretary</w:t>
            </w:r>
          </w:p>
        </w:tc>
        <w:tc>
          <w:tcPr>
            <w:tcW w:type="dxa" w:w="240"/>
            <w:tcMar>
              <w:top w:type="dxa" w:w="40"/>
              <w:left w:type="dxa" w:w="0"/>
              <w:bottom w:type="dxa" w:w="0"/>
              <w:right w:type="dxa" w:w="0"/>
            </w:tcMar>
            <w:vAlign w:val="top"/>
          </w:tcPr>
          <w:p>
            <w:pPr>
              <w:spacing w:after="0" w:line="259" w:lineRule="auto"/>
            </w:pPr>
          </w:p>
        </w:tc>
        <w:tc>
          <w:tcPr>
            <w:tcW w:type="dxa" w:w="3000"/>
            <w:tcMar>
              <w:top w:type="dxa" w:w="40"/>
              <w:left w:type="dxa" w:w="0"/>
              <w:bottom w:type="dxa" w:w="0"/>
              <w:right w:type="dxa" w:w="0"/>
            </w:tcMar>
            <w:vAlign w:val="top"/>
          </w:tcPr>
          <w:p>
            <w:pPr>
              <w:spacing w:after="0" w:line="259" w:lineRule="auto"/>
            </w:pPr>
            <w:r>
              <w:rPr>
                <w:b/>
                <w:bCs/>
                <w:caps/>
                <w:color w:val="555555"/>
                <w:spacing w:val="6"/>
                <w:sz w:val="16"/>
                <w:szCs w:val="16"/>
              </w:rPr>
              <w:t xml:space="preserve">Printed name</w:t>
            </w:r>
          </w:p>
        </w:tc>
        <w:tc>
          <w:tcPr>
            <w:tcW w:type="dxa" w:w="240"/>
            <w:tcMar>
              <w:top w:type="dxa" w:w="40"/>
              <w:left w:type="dxa" w:w="0"/>
              <w:bottom w:type="dxa" w:w="0"/>
              <w:right w:type="dxa" w:w="0"/>
            </w:tcMar>
            <w:vAlign w:val="top"/>
          </w:tcPr>
          <w:p>
            <w:pPr>
              <w:spacing w:after="0" w:line="259" w:lineRule="auto"/>
            </w:pPr>
          </w:p>
        </w:tc>
        <w:tc>
          <w:tcPr>
            <w:tcW w:type="dxa" w:w="1580"/>
            <w:tcMar>
              <w:top w:type="dxa" w:w="40"/>
              <w:left w:type="dxa" w:w="0"/>
              <w:bottom w:type="dxa" w:w="0"/>
              <w:right w:type="dxa" w:w="0"/>
            </w:tcMar>
            <w:vAlign w:val="top"/>
          </w:tcPr>
          <w:p>
            <w:pPr>
              <w:spacing w:after="0" w:line="259" w:lineRule="auto"/>
            </w:pPr>
            <w:r>
              <w:rPr>
                <w:b/>
                <w:bCs/>
                <w:caps/>
                <w:color w:val="555555"/>
                <w:spacing w:val="6"/>
                <w:sz w:val="16"/>
                <w:szCs w:val="16"/>
              </w:rPr>
              <w:t xml:space="preserve">Date</w:t>
            </w:r>
          </w:p>
        </w:tc>
      </w:tr>
    </w:tbl>
    <w:p>
      <w:pPr>
        <w:spacing w:before="0" w:after="120" w:line="120" w:lineRule="exact"/>
        <w:rPr>
          <w:sz w:val="8"/>
          <w:szCs w:val="8"/>
        </w:rPr>
      </w:pPr>
    </w:p>
    <w:sectPr>
      <w:headerReference w:type="default" r:id="rId7"/>
      <w:headerReference w:type="first" r:id="rId8"/>
      <w:footerReference w:type="default" r:id="rId9"/>
      <w:footerReference w:type="first" r:id="rId10"/>
      <w:pgSz w:w="12240" w:h="15840" w:orient="portrait"/>
      <w:pgMar w:top="1440" w:right="1440" w:bottom="1300" w:left="1440" w:header="600" w:footer="5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CBA0" w:sz="4" w:space="4"/>
      </w:pBdr>
      <w:tabs>
        <w:tab w:val="right" w:pos="9360"/>
      </w:tabs>
    </w:pPr>
    <w:r>
      <w:rPr>
        <w:color w:val="555555"/>
        <w:sz w:val="16"/>
        <w:szCs w:val="16"/>
      </w:rPr>
      <w:t xml:space="preserve">Board Resolution – Additional Assessment for Insurance Deductible  ·  Revised November 4, 2026</w:t>
    </w:r>
    <w:r>
      <w:rPr>
        <w:color w:val="555555"/>
        <w:sz w:val="16"/>
        <w:szCs w:val="16"/>
      </w:rPr>
      <w:t xml:space="preserve">	Page </w:t>
    </w:r>
    <w:r>
      <w:rPr>
        <w:color w:val="555555"/>
        <w:sz w:val="16"/>
        <w:szCs w:val="16"/>
      </w:rPr>
      <w:fldChar w:fldCharType="begin"/>
      <w:instrText xml:space="preserve">PAGE</w:instrText>
      <w:fldChar w:fldCharType="separate"/>
      <w:fldChar w:fldCharType="end"/>
    </w:r>
    <w:r>
      <w:rPr>
        <w:color w:val="555555"/>
        <w:sz w:val="16"/>
        <w:szCs w:val="16"/>
      </w:rPr>
      <w:t xml:space="preserve"> of </w:t>
    </w:r>
    <w:r>
      <w:rPr>
        <w:color w:val="555555"/>
        <w:sz w:val="16"/>
        <w:szCs w:val="16"/>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8954A" w:sz="6" w:space="4"/>
      </w:pBdr>
      <w:spacing w:after="0"/>
      <w:jc w:val="center"/>
    </w:pPr>
    <w:r>
      <w:rPr>
        <w:color w:val="555555"/>
        <w:sz w:val="16"/>
        <w:szCs w:val="16"/>
      </w:rPr>
      <w:t xml:space="preserve">P.O. Box 281, Jenison, MI 49429   ·   info@wallinwood.org   ·   wallinwood.org</w:t>
    </w:r>
  </w:p>
  <w:p>
    <w:pPr>
      <w:spacing w:after="0"/>
      <w:jc w:val="center"/>
    </w:pPr>
    <w:r>
      <w:rPr>
        <w:color w:val="555555"/>
        <w:sz w:val="16"/>
        <w:szCs w:val="16"/>
      </w:rPr>
      <w:t xml:space="preserve">Board Resolution – Additional Assessment for Insurance Deductible  ·  Revised November 4, 2026  ·  Page </w:t>
    </w:r>
    <w:r>
      <w:rPr>
        <w:color w:val="555555"/>
        <w:sz w:val="16"/>
        <w:szCs w:val="16"/>
      </w:rPr>
      <w:fldChar w:fldCharType="begin"/>
      <w:instrText xml:space="preserve">PAGE</w:instrText>
      <w:fldChar w:fldCharType="separate"/>
      <w:fldChar w:fldCharType="end"/>
    </w:r>
    <w:r>
      <w:rPr>
        <w:color w:val="555555"/>
        <w:sz w:val="16"/>
        <w:szCs w:val="16"/>
      </w:rPr>
      <w:t xml:space="preserve"> of </w:t>
    </w:r>
    <w:r>
      <w:rPr>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8954A" w:sz="6" w:space="4"/>
      </w:pBdr>
      <w:tabs>
        <w:tab w:val="right" w:pos="9360"/>
      </w:tabs>
    </w:pPr>
    <w:r>
      <w:rPr>
        <w:rFonts w:ascii="Georgia" w:cs="Georgia" w:eastAsia="Georgia" w:hAnsi="Georgia"/>
        <w:b/>
        <w:bCs/>
        <w:color w:val="1B4D2E"/>
        <w:sz w:val="18"/>
        <w:szCs w:val="18"/>
      </w:rPr>
      <w:t xml:space="preserve">Wallinwood Condominium Association</w:t>
    </w:r>
    <w:r>
      <w:rPr>
        <w:color w:val="555555"/>
        <w:sz w:val="18"/>
        <w:szCs w:val="18"/>
      </w:rPr>
      <w:t xml:space="preserve">	Board resolution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1200"/>
      <w:gridCol w:w="8160"/>
    </w:tblGrid>
    <w:tr>
      <w:tc>
        <w:tcPr>
          <w:tcW w:type="dxa" w:w="1200"/>
          <w:tcMar>
            <w:top w:type="dxa" w:w="0"/>
            <w:left w:type="dxa" w:w="0"/>
            <w:bottom w:type="dxa" w:w="0"/>
            <w:right w:type="dxa" w:w="80"/>
          </w:tcMar>
          <w:vAlign w:val="center"/>
        </w:tcPr>
        <w:p>
          <w:pPr>
            <w:spacing w:after="0"/>
          </w:pPr>
          <w:r>
            <w:drawing>
              <wp:inline distT="0" distB="0" distL="0" distR="0">
                <wp:extent cx="62865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628650" cy="571500"/>
                        </a:xfrm>
                        <a:prstGeom prst="rect">
                          <a:avLst/>
                        </a:prstGeom>
                      </pic:spPr>
                    </pic:pic>
                  </a:graphicData>
                </a:graphic>
              </wp:inline>
            </w:drawing>
          </w:r>
        </w:p>
      </w:tc>
      <w:tc>
        <w:tcPr>
          <w:tcW w:type="dxa" w:w="8160"/>
          <w:tcMar>
            <w:top w:type="dxa" w:w="0"/>
            <w:left w:type="dxa" w:w="80"/>
            <w:bottom w:type="dxa" w:w="0"/>
            <w:right w:type="dxa" w:w="0"/>
          </w:tcMar>
          <w:vAlign w:val="center"/>
        </w:tcPr>
        <w:p>
          <w:pPr>
            <w:spacing w:after="20"/>
          </w:pPr>
          <w:r>
            <w:rPr>
              <w:rFonts w:ascii="Georgia" w:cs="Georgia" w:eastAsia="Georgia" w:hAnsi="Georgia"/>
              <w:b/>
              <w:bCs/>
              <w:color w:val="1B4D2E"/>
              <w:spacing w:val="10"/>
              <w:sz w:val="28"/>
              <w:szCs w:val="28"/>
            </w:rPr>
            <w:t xml:space="preserve">WALLINWOOD CONDOMINIUM ASSOCIATION</w:t>
          </w:r>
        </w:p>
        <w:p>
          <w:pPr>
            <w:spacing w:after="0"/>
          </w:pPr>
          <w:r>
            <w:rPr>
              <w:color w:val="555555"/>
              <w:sz w:val="18"/>
              <w:szCs w:val="18"/>
            </w:rPr>
            <w:t xml:space="preserve">Jenison, Michigan  ·  Established 1986</w:t>
          </w:r>
        </w:p>
      </w:tc>
    </w:tr>
  </w:tbl>
  <w:p>
    <w:pPr>
      <w:pBdr>
        <w:bottom w:val="single" w:color="B8954A" w:sz="12" w:space="4"/>
      </w:pBd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2E6B3E"/>
      </w:rPr>
    </w:lvl>
    <w:lvl w:ilvl="1" w15:tentative="1">
      <w:start w:val="1"/>
      <w:numFmt w:val="bullet"/>
      <w:lvlText w:val="–"/>
      <w:lvlJc w:val="left"/>
      <w:pPr>
        <w:ind w:left="1000" w:hanging="270"/>
      </w:pPr>
    </w:lvl>
  </w:abstractNum>
  <w:abstractNum w:abstractNumId="3" w15:restartNumberingAfterBreak="0">
    <w:multiLevelType w:val="hybridMultilevel"/>
    <w:lvl w:ilvl="0" w15:tentative="1">
      <w:start w:val="1"/>
      <w:numFmt w:val="decimal"/>
      <w:lvlText w:val="%1."/>
      <w:lvlJc w:val="left"/>
      <w:pPr>
        <w:ind w:left="540" w:hanging="360"/>
      </w:pPr>
    </w:lvl>
    <w:lvl w:ilvl="1" w15:tentative="1">
      <w:start w:val="1"/>
      <w:numFmt w:val="lowerLetter"/>
      <w:lvlText w:val="%2."/>
      <w:lvlJc w:val="left"/>
      <w:pPr>
        <w:ind w:left="1000" w:hanging="360"/>
      </w:pPr>
    </w:lvl>
  </w:abstractNum>
  <w:abstractNum w:abstractNumId="4" w15:restartNumberingAfterBreak="0">
    <w:multiLevelType w:val="hybridMultilevel"/>
    <w:lvl w:ilvl="0" w15:tentative="1">
      <w:start w:val="1"/>
      <w:numFmt w:val="decimal"/>
      <w:lvlText w:val="%1."/>
      <w:lvlJc w:val="left"/>
      <w:pPr>
        <w:ind w:left="540" w:hanging="400"/>
      </w:pPr>
      <w:rPr>
        <w:b/>
        <w:bCs/>
        <w:color w:val="1B4D2E"/>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
    <w:abstractNumId w:val="2"/>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3"/>
        <w:szCs w:val="23"/>
      </w:rPr>
    </w:rPrDefault>
    <w:pPrDefault/>
  </w:docDefaults>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pPr>
      <w:spacing w:after="90" w:line="252" w:lineRule="auto"/>
    </w:pPr>
    <w:rPr>
      <w:rFonts w:ascii="Calibri" w:cs="Calibri" w:eastAsia="Calibri" w:hAnsi="Calibri"/>
      <w:color w:val="1A1A1A"/>
      <w:sz w:val="23"/>
      <w:szCs w:val="23"/>
    </w:rPr>
  </w:style>
  <w:style w:type="paragraph" w:styleId="Title">
    <w:name w:val="Title"/>
    <w:basedOn w:val="Normal"/>
    <w:next w:val="Normal"/>
    <w:qFormat/>
    <w:pPr>
      <w:spacing w:before="0" w:after="20" w:line="240" w:lineRule="auto"/>
    </w:pPr>
    <w:rPr>
      <w:rFonts w:ascii="Georgia" w:cs="Georgia" w:eastAsia="Georgia" w:hAnsi="Georgia"/>
      <w:b/>
      <w:bCs/>
      <w:color w:val="1B4D2E"/>
      <w:sz w:val="30"/>
      <w:szCs w:val="30"/>
    </w:rPr>
  </w:style>
  <w:style w:type="paragraph" w:styleId="Subtitle">
    <w:name w:val="Subtitle"/>
    <w:basedOn w:val="Normal"/>
    <w:next w:val="Normal"/>
    <w:qFormat/>
    <w:pPr>
      <w:spacing w:before="0" w:after="0"/>
    </w:pPr>
    <w:rPr>
      <w:color w:val="555555"/>
      <w:sz w:val="19"/>
      <w:szCs w:val="19"/>
    </w:rPr>
  </w:style>
  <w:style w:type="paragraph" w:styleId="Heading1">
    <w:name w:val="Heading 1"/>
    <w:basedOn w:val="Normal"/>
    <w:next w:val="Normal"/>
    <w:qFormat/>
    <w:pPr>
      <w:keepNext/>
      <w:pBdr>
        <w:bottom w:val="single" w:color="1B4D2E" w:sz="6" w:space="2"/>
      </w:pBdr>
      <w:spacing w:before="260" w:after="100"/>
      <w:outlineLvl w:val="0"/>
    </w:pPr>
    <w:rPr>
      <w:rFonts w:ascii="Georgia" w:cs="Georgia" w:eastAsia="Georgia" w:hAnsi="Georgia"/>
      <w:b/>
      <w:bCs/>
      <w:color w:val="1B4D2E"/>
      <w:sz w:val="24"/>
      <w:szCs w:val="24"/>
    </w:rPr>
  </w:style>
  <w:style w:type="paragraph" w:styleId="Heading2">
    <w:name w:val="Heading 2"/>
    <w:basedOn w:val="Normal"/>
    <w:next w:val="Normal"/>
    <w:qFormat/>
    <w:pPr>
      <w:keepNext/>
      <w:spacing w:before="180" w:after="60"/>
      <w:outlineLvl w:val="1"/>
    </w:pPr>
    <w:rPr>
      <w:b/>
      <w:bCs/>
      <w:color w:val="2E6B3E"/>
      <w:sz w:val="23"/>
      <w:szCs w:val="23"/>
    </w:rPr>
  </w:style>
  <w:style w:type="paragraph" w:styleId="Heading3">
    <w:name w:val="Heading 3"/>
    <w:basedOn w:val="Normal"/>
    <w:next w:val="Normal"/>
    <w:qFormat/>
    <w:pPr>
      <w:keepNext/>
      <w:spacing w:before="140" w:after="60"/>
      <w:outlineLvl w:val="2"/>
    </w:pPr>
    <w:rPr>
      <w:b/>
      <w:bCs/>
      <w:color w:val="1A1A1A"/>
      <w:sz w:val="23"/>
      <w:szCs w:val="23"/>
    </w:rPr>
  </w:style>
  <w:style w:type="paragraph" w:styleId="Caption">
    <w:name w:val="Caption"/>
    <w:basedOn w:val="Normal"/>
    <w:next w:val="Normal"/>
    <w:qFormat/>
    <w:pPr>
      <w:spacing w:after="120"/>
    </w:pPr>
    <w:rPr>
      <w:i w:val="false"/>
      <w:iCs w:val="false"/>
      <w:color w:val="555555"/>
      <w:sz w:val="18"/>
      <w:szCs w:val="18"/>
    </w:rPr>
  </w:style>
  <w:style w:type="paragraph" w:styleId="Callout">
    <w:name w:val="Callout"/>
    <w:basedOn w:val="Normal"/>
    <w:next w:val="Normal"/>
    <w:qFormat/>
    <w:pPr>
      <w:pBdr>
        <w:top w:val="single" w:color="1B4D2E" w:sz="6" w:space="5"/>
        <w:left w:val="single" w:color="1B4D2E" w:sz="6" w:space="6"/>
        <w:bottom w:val="single" w:color="1B4D2E" w:sz="6" w:space="5"/>
        <w:right w:val="single" w:color="1B4D2E" w:sz="6" w:space="6"/>
      </w:pBdr>
      <w:spacing w:before="160" w:after="200"/>
      <w:ind w:left="130" w:right="130"/>
    </w:pPr>
    <w:rPr>
      <w:sz w:val="23"/>
      <w:szCs w:val="23"/>
    </w:rPr>
  </w:style>
  <w:style w:type="paragraph" w:styleId="Instruction">
    <w:name w:val="Template Instruction"/>
    <w:basedOn w:val="Normal"/>
    <w:next w:val="Normal"/>
    <w:qFormat/>
    <w:pPr>
      <w:spacing w:after="100"/>
    </w:pPr>
    <w:rPr>
      <w:i/>
      <w:iCs/>
      <w:color w:val="8A6A2B"/>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0" Type="http://schemas.openxmlformats.org/officeDocument/2006/relationships/image" Target="media/5c0b2ff13fd1c634945b5e1bcf44d44b35bca810.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Resolution: Additional Assessment for Insurance Deductible</dc:title>
  <dc:subject>Resident notice</dc:subject>
  <dc:creator>Wallinwood Condominium Association</dc:creator>
  <dc:description>Wallinwood Board template</dc:description>
  <cp:lastModifiedBy>Un-named</cp:lastModifiedBy>
  <cp:revision>1</cp:revision>
  <dcterms:created xsi:type="dcterms:W3CDTF">2026-10-10T15:07:32.115Z</dcterms:created>
  <dcterms:modified xsi:type="dcterms:W3CDTF">2026-10-10T15:07:32.115Z</dcterms:modified>
</cp:coreProperties>
</file>

<file path=docProps/custom.xml><?xml version="1.0" encoding="utf-8"?>
<Properties xmlns="http://schemas.openxmlformats.org/officeDocument/2006/custom-properties" xmlns:vt="http://schemas.openxmlformats.org/officeDocument/2006/docPropsVTypes"/>
</file>